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243"/>
      </w:tblGrid>
      <w:tr w:rsidR="00295413" w:rsidRPr="0066378A">
        <w:trPr>
          <w:cantSplit/>
        </w:trPr>
        <w:tc>
          <w:tcPr>
            <w:tcW w:w="9243" w:type="dxa"/>
            <w:shd w:val="clear" w:color="auto" w:fill="auto"/>
          </w:tcPr>
          <w:bookmarkStart w:id="0" w:name="_GoBack"/>
          <w:bookmarkEnd w:id="0"/>
          <w:p w:rsidR="002F0748" w:rsidRPr="0066378A" w:rsidRDefault="009A4294" w:rsidP="00C754C1">
            <w:pPr>
              <w:jc w:val="center"/>
              <w:rPr>
                <w:b/>
                <w:kern w:val="1"/>
                <w:sz w:val="28"/>
                <w:lang w:val="es-ES_tradnl"/>
              </w:rPr>
            </w:pPr>
            <w:r w:rsidRPr="0066378A">
              <w:rPr>
                <w:noProof/>
                <w:lang w:val="es-ES_tradnl" w:eastAsia="es-ES_tradnl" w:bidi="ar-SA"/>
              </w:rPr>
              <mc:AlternateContent>
                <mc:Choice Requires="wps">
                  <w:drawing>
                    <wp:anchor distT="0" distB="0" distL="114300" distR="114300" simplePos="0" relativeHeight="251669504" behindDoc="1" locked="0" layoutInCell="0" allowOverlap="1" wp14:anchorId="1C5CE92E" wp14:editId="336A4FEB">
                      <wp:simplePos x="0" y="0"/>
                      <wp:positionH relativeFrom="page">
                        <wp:posOffset>817245</wp:posOffset>
                      </wp:positionH>
                      <wp:positionV relativeFrom="page">
                        <wp:posOffset>10144760</wp:posOffset>
                      </wp:positionV>
                      <wp:extent cx="6037200" cy="810000"/>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200" cy="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309" w:rsidRPr="000954B0" w:rsidRDefault="00691309">
                                  <w:pPr>
                                    <w:pBdr>
                                      <w:top w:val="single" w:sz="4" w:space="1" w:color="auto"/>
                                    </w:pBdr>
                                    <w:jc w:val="center"/>
                                    <w:rPr>
                                      <w:rFonts w:ascii="Garamond" w:hAnsi="Garamond"/>
                                      <w:b/>
                                      <w:bCs/>
                                      <w:sz w:val="20"/>
                                      <w:szCs w:val="16"/>
                                    </w:rPr>
                                  </w:pPr>
                                  <w:r>
                                    <w:rPr>
                                      <w:rFonts w:ascii="Garamond" w:hAnsi="Garamond"/>
                                      <w:b/>
                                      <w:sz w:val="20"/>
                                    </w:rPr>
                                    <w:t xml:space="preserve"> — Rue Belliard/Belliardstraat 101 — 1040 Bruxelles/Brussel — BELGIQUE/BELGIË —</w:t>
                                  </w:r>
                                </w:p>
                                <w:p w:rsidR="00691309" w:rsidRPr="000954B0" w:rsidRDefault="00691309">
                                  <w:pPr>
                                    <w:pBdr>
                                      <w:top w:val="single" w:sz="4" w:space="1" w:color="auto"/>
                                    </w:pBdr>
                                    <w:jc w:val="center"/>
                                    <w:rPr>
                                      <w:rFonts w:ascii="Garamond" w:hAnsi="Garamond"/>
                                      <w:b/>
                                      <w:bCs/>
                                      <w:sz w:val="20"/>
                                      <w:szCs w:val="16"/>
                                    </w:rPr>
                                  </w:pPr>
                                  <w:r>
                                    <w:rPr>
                                      <w:rFonts w:ascii="Garamond" w:hAnsi="Garamond"/>
                                      <w:b/>
                                      <w:sz w:val="20"/>
                                    </w:rPr>
                                    <w:t xml:space="preserve">Tel. +32 22822211 — Fax +32 22822325 — Internet: </w:t>
                                  </w:r>
                                  <w:hyperlink r:id="rId13">
                                    <w:r>
                                      <w:rPr>
                                        <w:rStyle w:val="Hipervnculo"/>
                                        <w:rFonts w:ascii="Garamond" w:hAnsi="Garamond"/>
                                        <w:b/>
                                        <w:sz w:val="20"/>
                                      </w:rPr>
                                      <w:t>http://www.cor.europa.eu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4" o:spid="_x0000_s1026" type="#_x0000_t202" style="position:absolute;left:0;text-align:left;margin-left:64.35pt;margin-top:798.8pt;width:475.35pt;height:63.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" o:allowincell="f" filled="f" stroked="f">
                      <v:textbox>
                        <w:txbxContent>
                          <w:p w:rsidR="00691309" w:rsidRPr="000954B0" w:rsidRDefault="00691309">
                            <w:pPr>
                              <w:pBdr>
                                <w:top w:val="single" w:sz="4" w:space="1" w:color="auto"/>
                              </w:pBdr>
                              <w:jc w:val="center"/>
                              <w:rPr>
                                <w:rFonts w:ascii="Garamond" w:hAnsi="Garamond"/>
                                <w:b/>
                                <w:bCs/>
                                <w:sz w:val="20"/>
                                <w:szCs w:val="16"/>
                              </w:rPr>
                            </w:pPr>
                            <w:r>
                              <w:rPr>
                                <w:rFonts w:ascii="Garamond" w:hAnsi="Garamond"/>
                                <w:b/>
                                <w:sz w:val="20"/>
                              </w:rPr>
                              <w:t xml:space="preserve"> </w:t>
                            </w:r>
                            <w:r>
                              <w:rPr>
                                <w:rFonts w:ascii="Garamond" w:hAnsi="Garamond"/>
                                <w:b/>
                                <w:sz w:val="20"/>
                              </w:rPr>
                              <w:t>— Rue Belliard/Belliardstraat 101 — 1040 Bruxelles/Brussel — BELGIQUE/BELGIË —</w:t>
                            </w:r>
                          </w:p>
                          <w:p w:rsidR="00691309" w:rsidRPr="000954B0" w:rsidRDefault="00691309">
                            <w:pPr>
                              <w:pBdr>
                                <w:top w:val="single" w:sz="4" w:space="1" w:color="auto"/>
                              </w:pBdr>
                              <w:jc w:val="center"/>
                              <w:rPr>
                                <w:rFonts w:ascii="Garamond" w:hAnsi="Garamond"/>
                                <w:b/>
                                <w:bCs/>
                                <w:sz w:val="20"/>
                                <w:szCs w:val="16"/>
                              </w:rPr>
                            </w:pPr>
                            <w:r>
                              <w:rPr>
                                <w:rFonts w:ascii="Garamond" w:hAnsi="Garamond"/>
                                <w:b/>
                                <w:sz w:val="20"/>
                              </w:rPr>
                              <w:t xml:space="preserve">Tel. +32 22822211 — Fax +32 22822325 — Internet: </w:t>
                            </w:r>
                            <w:hyperlink r:id="rId14">
                              <w:r>
                                <w:rPr>
                                  <w:rStyle w:val="Hyperlink"/>
                                  <w:rFonts w:ascii="Garamond" w:hAnsi="Garamond"/>
                                  <w:b/>
                                  <w:sz w:val="20"/>
                                </w:rPr>
                                <w:t>http://www.cor.europa.eu</w:t>
                              </w:r>
                            </w:hyperlink>
                          </w:p>
                        </w:txbxContent>
                      </v:textbox>
                      <w10:wrap xmlns:w10="urn:schemas-microsoft-com:office:word" anchorx="page" anchory="page"/>
                    </v:shape>
                  </w:pict>
                </mc:Fallback>
              </mc:AlternateContent>
            </w:r>
            <w:r w:rsidRPr="0066378A">
              <w:rPr>
                <w:noProof/>
                <w:lang w:val="es-ES_tradnl" w:eastAsia="es-ES_tradnl" w:bidi="ar-SA"/>
              </w:rPr>
              <mc:AlternateContent>
                <mc:Choice Requires="wps">
                  <w:drawing>
                    <wp:anchor distT="0" distB="0" distL="114300" distR="114300" simplePos="0" relativeHeight="251666432" behindDoc="1" locked="0" layoutInCell="0" allowOverlap="1" wp14:anchorId="1088CBC8" wp14:editId="6AFE703A">
                      <wp:simplePos x="0" y="0"/>
                      <wp:positionH relativeFrom="page">
                        <wp:posOffset>6767830</wp:posOffset>
                      </wp:positionH>
                      <wp:positionV relativeFrom="page">
                        <wp:posOffset>10079990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DDE" w:rsidRPr="000954B0" w:rsidRDefault="00B34DDE" w:rsidP="00971360">
                                  <w:pPr>
                                    <w:suppressAutoHyphens/>
                                    <w:jc w:val="center"/>
                                    <w:rPr>
                                      <w:rFonts w:ascii="Arial" w:hAnsi="Arial" w:cs="Arial"/>
                                      <w:b/>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3" o:spid="_x0000_s1027" type="#_x0000_t202" style="position:absolute;left:0;text-align:left;margin-left:532.9pt;margin-top:793.7pt;width:51pt;height:3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ZuuAIAAL8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" o:allowincell="f" filled="f" stroked="f">
                      <v:textbox>
                        <w:txbxContent>
                          <w:p w:rsidR="00B34DDE" w:rsidRPr="000954B0" w:rsidRDefault="00B34DDE" w:rsidP="00971360">
                            <w:pPr>
                              <w:suppressAutoHyphens/>
                              <w:jc w:val="center"/>
                              <w:rPr>
                                <w:rFonts w:ascii="Arial" w:hAnsi="Arial" w:cs="Arial"/>
                                <w:b/>
                                <w:sz w:val="48"/>
                              </w:rPr>
                            </w:pPr>
                            <w:r>
                              <w:rPr>
                                <w:rFonts w:ascii="Arial" w:hAnsi="Arial"/>
                                <w:b/>
                                <w:sz w:val="48"/>
                              </w:rPr>
                              <w:t>ES</w:t>
                            </w:r>
                          </w:p>
                        </w:txbxContent>
                      </v:textbox>
                      <w10:wrap xmlns:w10="urn:schemas-microsoft-com:office:word" anchorx="page" anchory="page"/>
                    </v:shape>
                  </w:pict>
                </mc:Fallback>
              </mc:AlternateContent>
            </w:r>
            <w:r w:rsidR="00B402E2" w:rsidRPr="0066378A">
              <w:rPr>
                <w:b/>
                <w:bCs/>
                <w:noProof/>
                <w:sz w:val="32"/>
                <w:lang w:val="es-ES_tradnl" w:eastAsia="es-ES_tradnl" w:bidi="ar-SA"/>
              </w:rPr>
              <w:drawing>
                <wp:inline distT="0" distB="0" distL="0" distR="0" wp14:anchorId="3E24403B" wp14:editId="0FC0E523">
                  <wp:extent cx="1884680" cy="779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4680" cy="779145"/>
                          </a:xfrm>
                          <a:prstGeom prst="rect">
                            <a:avLst/>
                          </a:prstGeom>
                          <a:noFill/>
                          <a:ln>
                            <a:noFill/>
                          </a:ln>
                        </pic:spPr>
                      </pic:pic>
                    </a:graphicData>
                  </a:graphic>
                </wp:inline>
              </w:drawing>
            </w:r>
          </w:p>
        </w:tc>
      </w:tr>
      <w:tr w:rsidR="00295413" w:rsidRPr="0066378A">
        <w:trPr>
          <w:cantSplit/>
        </w:trPr>
        <w:tc>
          <w:tcPr>
            <w:tcW w:w="9243" w:type="dxa"/>
            <w:shd w:val="clear" w:color="auto" w:fill="auto"/>
          </w:tcPr>
          <w:p w:rsidR="002F0748" w:rsidRPr="0066378A" w:rsidRDefault="00C754C1" w:rsidP="00691309">
            <w:pPr>
              <w:suppressAutoHyphens/>
              <w:jc w:val="right"/>
              <w:rPr>
                <w:b/>
                <w:kern w:val="1"/>
                <w:sz w:val="28"/>
                <w:lang w:val="es-ES_tradnl"/>
              </w:rPr>
            </w:pPr>
            <w:r w:rsidRPr="0066378A">
              <w:rPr>
                <w:b/>
                <w:sz w:val="28"/>
                <w:lang w:val="es-ES_tradnl"/>
              </w:rPr>
              <w:t>NAT-VI/004</w:t>
            </w:r>
          </w:p>
        </w:tc>
      </w:tr>
      <w:tr w:rsidR="00295413" w:rsidRPr="0066378A">
        <w:trPr>
          <w:cantSplit/>
        </w:trPr>
        <w:tc>
          <w:tcPr>
            <w:tcW w:w="9243" w:type="dxa"/>
            <w:shd w:val="clear" w:color="auto" w:fill="auto"/>
          </w:tcPr>
          <w:p w:rsidR="002F0748" w:rsidRPr="0066378A" w:rsidRDefault="00475538" w:rsidP="00475538">
            <w:pPr>
              <w:suppressAutoHyphens/>
              <w:jc w:val="center"/>
              <w:rPr>
                <w:kern w:val="1"/>
                <w:lang w:val="es-ES_tradnl"/>
              </w:rPr>
            </w:pPr>
            <w:r w:rsidRPr="0066378A">
              <w:rPr>
                <w:b/>
                <w:sz w:val="28"/>
                <w:lang w:val="es-ES_tradnl"/>
              </w:rPr>
              <w:t>116.º Pleno, 10 y 11 de febrero de 2016</w:t>
            </w:r>
          </w:p>
        </w:tc>
      </w:tr>
    </w:tbl>
    <w:p w:rsidR="00C831C5" w:rsidRPr="0066378A" w:rsidRDefault="00C831C5">
      <w:pPr>
        <w:suppressAutoHyphens/>
        <w:rPr>
          <w:lang w:val="es-ES_tradnl"/>
        </w:rPr>
      </w:pPr>
    </w:p>
    <w:p w:rsidR="002F0748" w:rsidRPr="0066378A" w:rsidRDefault="00E54399">
      <w:pPr>
        <w:suppressAutoHyphens/>
        <w:jc w:val="center"/>
        <w:rPr>
          <w:b/>
          <w:sz w:val="28"/>
          <w:szCs w:val="28"/>
          <w:lang w:val="es-ES_tradnl"/>
        </w:rPr>
      </w:pPr>
      <w:r w:rsidRPr="0066378A">
        <w:rPr>
          <w:b/>
          <w:sz w:val="28"/>
          <w:lang w:val="es-ES_tradnl"/>
        </w:rPr>
        <w:t>DICTAMEN</w:t>
      </w:r>
      <w:r w:rsidRPr="0066378A">
        <w:rPr>
          <w:b/>
          <w:sz w:val="28"/>
          <w:lang w:val="es-ES_tradnl"/>
        </w:rPr>
        <w:br/>
      </w:r>
      <w:r w:rsidRPr="0066378A">
        <w:rPr>
          <w:b/>
          <w:sz w:val="28"/>
          <w:lang w:val="es-ES_tradnl"/>
        </w:rPr>
        <w:br/>
        <w:t>Innovación y modernización de la economía rural</w:t>
      </w:r>
    </w:p>
    <w:p w:rsidR="00691309" w:rsidRPr="0066378A" w:rsidRDefault="00691309">
      <w:pPr>
        <w:suppressAutoHyphens/>
        <w:jc w:val="left"/>
        <w:rPr>
          <w:lang w:val="es-ES_tradnl"/>
        </w:rPr>
      </w:pPr>
    </w:p>
    <w:p w:rsidR="00B402E2" w:rsidRPr="0066378A" w:rsidRDefault="00B402E2">
      <w:pPr>
        <w:suppressAutoHyphens/>
        <w:jc w:val="left"/>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C922B0" w:rsidRPr="0066378A" w:rsidTr="00BD482D">
        <w:tc>
          <w:tcPr>
            <w:tcW w:w="9243" w:type="dxa"/>
            <w:tcMar>
              <w:top w:w="108" w:type="dxa"/>
            </w:tcMar>
          </w:tcPr>
          <w:p w:rsidR="00C922B0" w:rsidRPr="0066378A" w:rsidRDefault="00C922B0" w:rsidP="00BD482D">
            <w:pPr>
              <w:jc w:val="left"/>
              <w:rPr>
                <w:bCs/>
                <w:lang w:val="es-ES_tradnl"/>
              </w:rPr>
            </w:pPr>
            <w:r w:rsidRPr="0066378A">
              <w:rPr>
                <w:lang w:val="es-ES_tradnl"/>
              </w:rPr>
              <w:t>El COMITÉ EUROPEO DE LAS REGIONES</w:t>
            </w:r>
          </w:p>
          <w:p w:rsidR="00C922B0" w:rsidRPr="0066378A" w:rsidRDefault="00C922B0" w:rsidP="00BD482D">
            <w:pPr>
              <w:rPr>
                <w:bCs/>
                <w:lang w:val="es-ES_tradnl"/>
              </w:rPr>
            </w:pPr>
          </w:p>
          <w:p w:rsidR="00C922B0" w:rsidRPr="0066378A" w:rsidRDefault="0079776A" w:rsidP="00C922B0">
            <w:pPr>
              <w:numPr>
                <w:ilvl w:val="0"/>
                <w:numId w:val="64"/>
              </w:numPr>
              <w:ind w:left="567" w:hanging="567"/>
              <w:rPr>
                <w:bCs/>
                <w:lang w:val="es-ES_tradnl"/>
              </w:rPr>
            </w:pPr>
            <w:r w:rsidRPr="0066378A">
              <w:rPr>
                <w:lang w:val="es-ES_tradnl"/>
              </w:rPr>
              <w:t>desea poner de relieve que las medidas de austeridad y la reducción global de los fondos para la agricultura y el desarrollo rural han puesto en peligro la supervivencia de las zonas rurales, por lo que contravienen el principio de cohesión territorial de la UE;</w:t>
            </w:r>
          </w:p>
          <w:p w:rsidR="00ED3BAD" w:rsidRPr="0066378A" w:rsidRDefault="0079776A" w:rsidP="00C922B0">
            <w:pPr>
              <w:numPr>
                <w:ilvl w:val="0"/>
                <w:numId w:val="63"/>
              </w:numPr>
              <w:tabs>
                <w:tab w:val="clear" w:pos="0"/>
              </w:tabs>
              <w:ind w:left="567" w:hanging="567"/>
              <w:rPr>
                <w:bCs/>
                <w:lang w:val="es-ES_tradnl"/>
              </w:rPr>
            </w:pPr>
            <w:r w:rsidRPr="0066378A">
              <w:rPr>
                <w:lang w:val="es-ES_tradnl"/>
              </w:rPr>
              <w:t xml:space="preserve">pide incrementar el apoyo financiero global de la UE al desarrollo rural a fin de contrarrestar la creciente concentración de la producción agrícola </w:t>
            </w:r>
            <w:r w:rsidR="00B402E2" w:rsidRPr="0066378A">
              <w:rPr>
                <w:lang w:val="es-ES_tradnl"/>
              </w:rPr>
              <w:t>–</w:t>
            </w:r>
            <w:r w:rsidRPr="0066378A">
              <w:rPr>
                <w:lang w:val="es-ES_tradnl"/>
              </w:rPr>
              <w:t>que está dando lugar a importantes disparidades regionales</w:t>
            </w:r>
            <w:r w:rsidR="00B402E2" w:rsidRPr="0066378A">
              <w:rPr>
                <w:lang w:val="es-ES_tradnl"/>
              </w:rPr>
              <w:t>–</w:t>
            </w:r>
            <w:r w:rsidRPr="0066378A">
              <w:rPr>
                <w:lang w:val="es-ES_tradnl"/>
              </w:rPr>
              <w:t xml:space="preserve"> y poner un tope a las transferencias del segundo al primer pilar;</w:t>
            </w:r>
          </w:p>
          <w:p w:rsidR="004965BF" w:rsidRPr="0066378A" w:rsidRDefault="004965BF" w:rsidP="00C922B0">
            <w:pPr>
              <w:numPr>
                <w:ilvl w:val="0"/>
                <w:numId w:val="63"/>
              </w:numPr>
              <w:tabs>
                <w:tab w:val="clear" w:pos="0"/>
              </w:tabs>
              <w:ind w:left="567" w:hanging="567"/>
              <w:rPr>
                <w:bCs/>
                <w:lang w:val="es-ES_tradnl"/>
              </w:rPr>
            </w:pPr>
            <w:r w:rsidRPr="0066378A">
              <w:rPr>
                <w:lang w:val="es-ES_tradnl"/>
              </w:rPr>
              <w:t>pide considerar, en la perspectiva de la revisión intermedia del marco financiero plurianual, que se destinen al desarrollo local más fondos de la UE en el período de programación 2014-2020;</w:t>
            </w:r>
          </w:p>
          <w:p w:rsidR="0079776A" w:rsidRPr="0066378A" w:rsidRDefault="0079776A" w:rsidP="00C922B0">
            <w:pPr>
              <w:numPr>
                <w:ilvl w:val="0"/>
                <w:numId w:val="63"/>
              </w:numPr>
              <w:tabs>
                <w:tab w:val="clear" w:pos="0"/>
              </w:tabs>
              <w:ind w:left="567" w:hanging="567"/>
              <w:rPr>
                <w:lang w:val="es-ES_tradnl"/>
              </w:rPr>
            </w:pPr>
            <w:r w:rsidRPr="0066378A">
              <w:rPr>
                <w:lang w:val="es-ES_tradnl"/>
              </w:rPr>
              <w:t>apoya la petición del Movimiento Europeo de la Ruralidad (M. E. R.) y del Grupo de trabajo ampliado sobre las zonas rurales, montañosas y aisladas del Parlamento Europeo dirigida a la Comisión para que elabore un Libro Blanco como punto de partida de una política de desarrollo para las zonas rurales después de 2020, haga una contribución diferenciada y tenga en cuenta las necesidades de las zonas rurales en todas las políticas de la UE, como ocurre actualmente en el caso de las ciudades;</w:t>
            </w:r>
          </w:p>
          <w:p w:rsidR="0079776A" w:rsidRPr="0066378A" w:rsidRDefault="0079776A" w:rsidP="00C922B0">
            <w:pPr>
              <w:numPr>
                <w:ilvl w:val="0"/>
                <w:numId w:val="63"/>
              </w:numPr>
              <w:tabs>
                <w:tab w:val="clear" w:pos="0"/>
              </w:tabs>
              <w:ind w:left="567" w:hanging="567"/>
              <w:rPr>
                <w:lang w:val="es-ES_tradnl"/>
              </w:rPr>
            </w:pPr>
            <w:r w:rsidRPr="0066378A">
              <w:rPr>
                <w:lang w:val="es-ES_tradnl"/>
              </w:rPr>
              <w:t>lamenta los resultados del informe provisional sobre la ejecución de los programas operativos, que pone de relieve que, en la actualidad, está previsto que solo el 11 % de los fondos del FEDER se asigne a las zonas rurales;</w:t>
            </w:r>
          </w:p>
          <w:p w:rsidR="0079776A" w:rsidRPr="0066378A" w:rsidRDefault="0079776A" w:rsidP="00C922B0">
            <w:pPr>
              <w:numPr>
                <w:ilvl w:val="0"/>
                <w:numId w:val="63"/>
              </w:numPr>
              <w:tabs>
                <w:tab w:val="clear" w:pos="0"/>
              </w:tabs>
              <w:ind w:left="567" w:hanging="567"/>
              <w:rPr>
                <w:lang w:val="es-ES_tradnl"/>
              </w:rPr>
            </w:pPr>
            <w:r w:rsidRPr="0066378A">
              <w:rPr>
                <w:lang w:val="es-ES_tradnl"/>
              </w:rPr>
              <w:t>pide modernizar la oferta de formación profesional en el medio rural y adaptarla a los requisitos de la competencia mundial y a las necesidades de las empresas locales, así como seguir desarrollando los fondos del FSE para que apoyen la educación y la formación profesionales en las zonas rurales;</w:t>
            </w:r>
          </w:p>
          <w:p w:rsidR="00C922B0" w:rsidRPr="0066378A" w:rsidRDefault="0079776A" w:rsidP="00DB5DCA">
            <w:pPr>
              <w:numPr>
                <w:ilvl w:val="0"/>
                <w:numId w:val="63"/>
              </w:numPr>
              <w:tabs>
                <w:tab w:val="clear" w:pos="0"/>
              </w:tabs>
              <w:ind w:left="567" w:hanging="567"/>
              <w:rPr>
                <w:lang w:val="es-ES_tradnl"/>
              </w:rPr>
            </w:pPr>
            <w:r w:rsidRPr="0066378A">
              <w:rPr>
                <w:lang w:val="es-ES_tradnl"/>
              </w:rPr>
              <w:t>hace un llamamiento para, con la ayuda de redes de acceso de nueva generación que fomenten la aplicación de la Agenda Digital Europea 2020, redoblar los esfuerzos con vistas a desarrollar una internet de alta velocidad en las zonas rurales;</w:t>
            </w:r>
          </w:p>
          <w:p w:rsidR="00C64AD8" w:rsidRPr="0066378A" w:rsidRDefault="004965BF" w:rsidP="00DB5DCA">
            <w:pPr>
              <w:numPr>
                <w:ilvl w:val="0"/>
                <w:numId w:val="63"/>
              </w:numPr>
              <w:tabs>
                <w:tab w:val="clear" w:pos="0"/>
              </w:tabs>
              <w:ind w:left="567" w:hanging="567"/>
              <w:rPr>
                <w:lang w:val="es-ES_tradnl"/>
              </w:rPr>
            </w:pPr>
            <w:r w:rsidRPr="0066378A">
              <w:rPr>
                <w:lang w:val="es-ES_tradnl"/>
              </w:rPr>
              <w:t>apoya activamente la plataforma de coordinación para el desarrollo local que debe crear la Comisión Europea;</w:t>
            </w:r>
          </w:p>
          <w:p w:rsidR="00C64AD8" w:rsidRPr="0066378A" w:rsidRDefault="00C64AD8" w:rsidP="00DB5DCA">
            <w:pPr>
              <w:rPr>
                <w:lang w:val="es-ES_tradnl"/>
              </w:rPr>
            </w:pPr>
          </w:p>
        </w:tc>
      </w:tr>
    </w:tbl>
    <w:p w:rsidR="00295413" w:rsidRPr="0066378A" w:rsidRDefault="00295413">
      <w:pPr>
        <w:rPr>
          <w:lang w:val="es-ES_tradnl"/>
        </w:rPr>
      </w:pPr>
    </w:p>
    <w:p w:rsidR="00C831C5" w:rsidRPr="0066378A" w:rsidRDefault="00C831C5">
      <w:pPr>
        <w:rPr>
          <w:lang w:val="es-ES_tradnl"/>
        </w:rPr>
        <w:sectPr w:rsidR="00C831C5" w:rsidRPr="0066378A" w:rsidSect="000954B0">
          <w:headerReference w:type="even" r:id="rId16"/>
          <w:headerReference w:type="default" r:id="rId17"/>
          <w:footerReference w:type="even" r:id="rId18"/>
          <w:footerReference w:type="default" r:id="rId19"/>
          <w:headerReference w:type="first" r:id="rId20"/>
          <w:footerReference w:type="first" r:id="rId21"/>
          <w:pgSz w:w="11907" w:h="16839" w:code="9"/>
          <w:pgMar w:top="1417" w:right="1417" w:bottom="1417" w:left="1417" w:header="709" w:footer="709" w:gutter="0"/>
          <w:pgNumType w:start="1"/>
          <w:cols w:space="720"/>
          <w:docGrid w:linePitch="299"/>
        </w:sectPr>
      </w:pPr>
    </w:p>
    <w:tbl>
      <w:tblPr>
        <w:tblW w:w="0" w:type="auto"/>
        <w:tblLayout w:type="fixed"/>
        <w:tblLook w:val="01E0" w:firstRow="1" w:lastRow="1" w:firstColumn="1" w:lastColumn="1" w:noHBand="0" w:noVBand="0"/>
      </w:tblPr>
      <w:tblGrid>
        <w:gridCol w:w="9243"/>
      </w:tblGrid>
      <w:tr w:rsidR="00295413" w:rsidRPr="0066378A">
        <w:trPr>
          <w:trHeight w:val="12474"/>
        </w:trPr>
        <w:tc>
          <w:tcPr>
            <w:tcW w:w="9243" w:type="dxa"/>
            <w:vAlign w:val="bottom"/>
          </w:tcPr>
          <w:p w:rsidR="00C922B0" w:rsidRPr="0066378A" w:rsidRDefault="00C922B0" w:rsidP="00C922B0">
            <w:pPr>
              <w:suppressAutoHyphens/>
              <w:rPr>
                <w:kern w:val="1"/>
                <w:lang w:val="es-ES_tradnl"/>
              </w:rPr>
            </w:pPr>
            <w:r w:rsidRPr="0066378A">
              <w:rPr>
                <w:kern w:val="1"/>
                <w:u w:val="single"/>
                <w:lang w:val="es-ES_tradnl"/>
              </w:rPr>
              <w:lastRenderedPageBreak/>
              <w:t>Ponente:</w:t>
            </w:r>
            <w:r w:rsidRPr="0066378A">
              <w:rPr>
                <w:lang w:val="es-ES_tradnl"/>
              </w:rPr>
              <w:t xml:space="preserve"> </w:t>
            </w:r>
          </w:p>
          <w:p w:rsidR="00C922B0" w:rsidRPr="0066378A" w:rsidRDefault="00C922B0" w:rsidP="00C922B0">
            <w:pPr>
              <w:suppressAutoHyphens/>
              <w:rPr>
                <w:kern w:val="1"/>
                <w:lang w:val="es-ES_tradnl"/>
              </w:rPr>
            </w:pPr>
          </w:p>
          <w:p w:rsidR="00295413" w:rsidRPr="0066378A" w:rsidRDefault="00C922B0">
            <w:pPr>
              <w:suppressAutoHyphens/>
              <w:rPr>
                <w:kern w:val="1"/>
                <w:lang w:val="es-ES_tradnl"/>
              </w:rPr>
            </w:pPr>
            <w:r w:rsidRPr="0066378A">
              <w:rPr>
                <w:lang w:val="es-ES_tradnl"/>
              </w:rPr>
              <w:t>Randel Länts, concejal del Ayuntamiento de Viljandi (EE/PSE)</w:t>
            </w:r>
          </w:p>
        </w:tc>
      </w:tr>
    </w:tbl>
    <w:p w:rsidR="00C831C5" w:rsidRPr="0066378A" w:rsidRDefault="00C831C5">
      <w:pPr>
        <w:suppressAutoHyphens/>
        <w:rPr>
          <w:lang w:val="es-ES_tradnl"/>
        </w:rPr>
      </w:pPr>
    </w:p>
    <w:p w:rsidR="00691309" w:rsidRPr="0066378A" w:rsidRDefault="00691309">
      <w:pPr>
        <w:suppressAutoHyphens/>
        <w:rPr>
          <w:b/>
          <w:lang w:val="es-ES_tradnl"/>
        </w:rPr>
      </w:pPr>
      <w:r w:rsidRPr="0066378A">
        <w:rPr>
          <w:lang w:val="es-ES_tradnl"/>
        </w:rPr>
        <w:br w:type="page"/>
      </w:r>
    </w:p>
    <w:p w:rsidR="00295413" w:rsidRPr="0066378A" w:rsidRDefault="00C922B0">
      <w:pPr>
        <w:suppressAutoHyphens/>
        <w:jc w:val="center"/>
        <w:rPr>
          <w:lang w:val="es-ES_tradnl"/>
        </w:rPr>
      </w:pPr>
      <w:r w:rsidRPr="0066378A">
        <w:rPr>
          <w:b/>
          <w:lang w:val="es-ES_tradnl"/>
        </w:rPr>
        <w:lastRenderedPageBreak/>
        <w:t xml:space="preserve">Dictamen del Comité Europeo de las Regiones – Innovación y </w:t>
      </w:r>
      <w:r w:rsidR="00B402E2" w:rsidRPr="0066378A">
        <w:rPr>
          <w:b/>
          <w:lang w:val="es-ES_tradnl"/>
        </w:rPr>
        <w:br/>
      </w:r>
      <w:r w:rsidRPr="0066378A">
        <w:rPr>
          <w:b/>
          <w:lang w:val="es-ES_tradnl"/>
        </w:rPr>
        <w:t>modernización de la economía rural</w:t>
      </w:r>
    </w:p>
    <w:p w:rsidR="00D42D74" w:rsidRPr="0066378A" w:rsidRDefault="00D42D74">
      <w:pPr>
        <w:rPr>
          <w:sz w:val="24"/>
          <w:lang w:val="es-ES_tradnl"/>
        </w:rPr>
      </w:pPr>
    </w:p>
    <w:p w:rsidR="003C5C4F" w:rsidRPr="0066378A" w:rsidRDefault="003C5C4F">
      <w:pPr>
        <w:numPr>
          <w:ilvl w:val="0"/>
          <w:numId w:val="1"/>
        </w:numPr>
        <w:ind w:left="567" w:hanging="567"/>
        <w:rPr>
          <w:b/>
          <w:lang w:val="es-ES_tradnl"/>
        </w:rPr>
      </w:pPr>
      <w:r w:rsidRPr="0066378A">
        <w:rPr>
          <w:b/>
          <w:lang w:val="es-ES_tradnl"/>
        </w:rPr>
        <w:t>CONTEXTO</w:t>
      </w:r>
    </w:p>
    <w:p w:rsidR="003C5C4F" w:rsidRPr="0066378A" w:rsidRDefault="003C5C4F" w:rsidP="00B954B3">
      <w:pPr>
        <w:rPr>
          <w:lang w:val="es-ES_tradnl"/>
        </w:rPr>
      </w:pPr>
    </w:p>
    <w:p w:rsidR="003C5C4F" w:rsidRPr="0066378A" w:rsidRDefault="00CD1DC5">
      <w:pPr>
        <w:pStyle w:val="Ttulo1"/>
        <w:rPr>
          <w:lang w:val="es-ES_tradnl"/>
        </w:rPr>
      </w:pPr>
      <w:r w:rsidRPr="0066378A">
        <w:rPr>
          <w:lang w:val="es-ES_tradnl"/>
        </w:rPr>
        <w:t>La Estrategia Europa 2020 se centra especialmente en las ciudades y las grandes ciudades como motores de crecimiento económico. No obstante, no será posible alcanzar los objetivos de la Estrategia y mantener la cohesión territorial si no se aprovecha plenamente todo el potencial, incluido el de las zonas rurales.</w:t>
      </w:r>
    </w:p>
    <w:p w:rsidR="003C5C4F" w:rsidRPr="0066378A" w:rsidRDefault="003C5C4F" w:rsidP="00B954B3">
      <w:pPr>
        <w:rPr>
          <w:lang w:val="es-ES_tradnl"/>
        </w:rPr>
      </w:pPr>
    </w:p>
    <w:p w:rsidR="003C5C4F" w:rsidRPr="0066378A" w:rsidRDefault="003C5C4F">
      <w:pPr>
        <w:pStyle w:val="Ttulo1"/>
        <w:rPr>
          <w:lang w:val="es-ES_tradnl"/>
        </w:rPr>
      </w:pPr>
      <w:r w:rsidRPr="0066378A">
        <w:rPr>
          <w:lang w:val="es-ES_tradnl"/>
        </w:rPr>
        <w:t>Las regiones rurales e intermedias representan el 91 % del territorio de la UE; en ellas vive el 60 % de la población de la UE, se genera el 43 % del valor añadido bruto y se sitúa el 56 % de los puestos de trabajo en la UE.</w:t>
      </w:r>
    </w:p>
    <w:p w:rsidR="003C5C4F" w:rsidRPr="0066378A" w:rsidRDefault="003C5C4F" w:rsidP="00B954B3">
      <w:pPr>
        <w:rPr>
          <w:lang w:val="es-ES_tradnl"/>
        </w:rPr>
      </w:pPr>
    </w:p>
    <w:p w:rsidR="003C5C4F" w:rsidRPr="0066378A" w:rsidRDefault="003C5C4F">
      <w:pPr>
        <w:pStyle w:val="Ttulo1"/>
        <w:rPr>
          <w:lang w:val="es-ES_tradnl"/>
        </w:rPr>
      </w:pPr>
      <w:r w:rsidRPr="0066378A">
        <w:rPr>
          <w:lang w:val="es-ES_tradnl"/>
        </w:rPr>
        <w:t>El mundo rural mantiene un rico patrimonio cultural, arquitectónico, natural, social, gastronómico y económico. Por ello, las zonas rurales tienen una importancia fundamental para las nuevas orientaciones políticas en favor de un desarrollo sostenible y de la cohesión territorial.</w:t>
      </w:r>
    </w:p>
    <w:p w:rsidR="00722110" w:rsidRPr="0066378A" w:rsidRDefault="00722110" w:rsidP="00B954B3">
      <w:pPr>
        <w:rPr>
          <w:lang w:val="es-ES_tradnl"/>
        </w:rPr>
      </w:pPr>
    </w:p>
    <w:p w:rsidR="003C5C4F" w:rsidRPr="0066378A" w:rsidRDefault="003C5C4F" w:rsidP="00722110">
      <w:pPr>
        <w:pStyle w:val="Ttulo1"/>
        <w:rPr>
          <w:lang w:val="es-ES_tradnl"/>
        </w:rPr>
      </w:pPr>
      <w:r w:rsidRPr="0066378A">
        <w:rPr>
          <w:lang w:val="es-ES_tradnl"/>
        </w:rPr>
        <w:t>Muchas zonas rurales de la Unión Europea se enfrentan a problemas similares: la accesibilidad física, la distancia de los centros de toma de decisiones y de investigación así como de los centros de enseñanza y la falta de infraestructura tecnológica, con la consecuencia de que la brecha tecnológica se agranda aún más. La tasa de actividad en las zonas rurales es menor, y en ellas se crea menos empleo. Al mismo tiempo, ofrecen toda una serie de ventajas: la naturaleza, un entorno de vida agradable, menor contaminación y muchas más cosas.</w:t>
      </w:r>
    </w:p>
    <w:p w:rsidR="00722110" w:rsidRPr="0066378A" w:rsidRDefault="00722110" w:rsidP="00B954B3">
      <w:pPr>
        <w:rPr>
          <w:lang w:val="es-ES_tradnl"/>
        </w:rPr>
      </w:pPr>
    </w:p>
    <w:p w:rsidR="00E85EEC" w:rsidRPr="0066378A" w:rsidRDefault="003C5C4F" w:rsidP="00722110">
      <w:pPr>
        <w:pStyle w:val="Ttulo1"/>
        <w:rPr>
          <w:lang w:val="es-ES_tradnl"/>
        </w:rPr>
      </w:pPr>
      <w:r w:rsidRPr="0066378A">
        <w:rPr>
          <w:lang w:val="es-ES_tradnl"/>
        </w:rPr>
        <w:t>No obstante, hay que tener en cuenta que las zonas rurales, debido a sus características y problemas, pueden presentar importantes diferencias entre sí. Algunas sufren el éxodo y el envejecimiento de la población, así como la baja densidad de población y la dispersión de los núcleos de población, mientras que otras zonas periurbanas se ven sometidas a una presión cada vez mayor por la creciente demanda de terreno y por la evolución demográfica. Algunas tienen que luchar contra la recesión económica, debido al declive de la actividad agraria, mientras que otras, por las características de su entorno natural o por otras cualidades, tienen un éxito creciente gracias al turismo o la inmigración. Algunas disponen de una red de carreteras relativamente buena y adecuadas infraestructuras de información y comunicación, mientras que otras están relativamente aisladas. Algunas se encuentran en el continente y otras en regiones insulares, las cuales deben superar los hándicaps propios de la insularidad. Lo que todas tienen en común es que el nivel de desarrollo de las zonas rurales está por debajo del nivel de desarrollo de la UE, en especial de las zonas urbanas, y que ese retraso va en aumento.</w:t>
      </w:r>
    </w:p>
    <w:p w:rsidR="00722110" w:rsidRPr="0066378A" w:rsidRDefault="00722110" w:rsidP="00B954B3">
      <w:pPr>
        <w:rPr>
          <w:lang w:val="es-ES_tradnl"/>
        </w:rPr>
      </w:pPr>
    </w:p>
    <w:p w:rsidR="00722110" w:rsidRPr="0066378A" w:rsidRDefault="00722110" w:rsidP="00722110">
      <w:pPr>
        <w:pStyle w:val="Ttulo1"/>
        <w:rPr>
          <w:lang w:val="es-ES_tradnl"/>
        </w:rPr>
      </w:pPr>
      <w:r w:rsidRPr="0066378A">
        <w:rPr>
          <w:lang w:val="es-ES_tradnl"/>
        </w:rPr>
        <w:t>En todo caso, la normativa europea reconoce algunas tipologías de zona rural, como es el caso de las zonas de montaña y las zonas escasamente pobladas, que deben tener un enfoque específico abordando conjuntamente sus limitaciones y potencialidades para el desarrollo.</w:t>
      </w:r>
    </w:p>
    <w:p w:rsidR="00722110" w:rsidRPr="0066378A" w:rsidRDefault="00722110" w:rsidP="00DB5DCA">
      <w:pPr>
        <w:rPr>
          <w:lang w:val="es-ES_tradnl"/>
        </w:rPr>
      </w:pPr>
    </w:p>
    <w:p w:rsidR="003C5C4F" w:rsidRPr="0066378A" w:rsidRDefault="003C5C4F">
      <w:pPr>
        <w:pStyle w:val="Ttulo1"/>
        <w:rPr>
          <w:lang w:val="es-ES_tradnl"/>
        </w:rPr>
      </w:pPr>
      <w:r w:rsidRPr="0066378A">
        <w:rPr>
          <w:lang w:val="es-ES_tradnl"/>
        </w:rPr>
        <w:t>Mantener unos servicios públicos y privados de alta calidad a menudo requiere un importante esfuerzo político, cívico y financiero y una mayor solidaridad entre las zonas urbanas y las rurales. Al mismo tiempo, el desarrollo de servicios o productos públicos representa un nuevo desafío empresarial. Por ejemplo, los requisitos de adjudicación de contratos públicos pueden suponer un incentivo para que las empresas busquen soluciones innovadoras o similares.</w:t>
      </w:r>
    </w:p>
    <w:p w:rsidR="00475538" w:rsidRPr="0066378A" w:rsidRDefault="00475538" w:rsidP="00B954B3">
      <w:pPr>
        <w:rPr>
          <w:lang w:val="es-ES_tradnl"/>
        </w:rPr>
      </w:pPr>
    </w:p>
    <w:p w:rsidR="003C5C4F" w:rsidRPr="0066378A" w:rsidRDefault="003C5C4F">
      <w:pPr>
        <w:pStyle w:val="Ttulo1"/>
        <w:rPr>
          <w:lang w:val="es-ES_tradnl"/>
        </w:rPr>
      </w:pPr>
      <w:r w:rsidRPr="0066378A">
        <w:rPr>
          <w:lang w:val="es-ES_tradnl"/>
        </w:rPr>
        <w:t>En comparación con el período anterior, los fondos disponibles en el marco de la PAC se han reducido en un 11,1 %. Para compensar estas diferencias, once Estados miembros han decidido transferir fondos del primer pilar al segundo pilar y cinco Estados miembros, incluidos cuatro países de Europa Central y Oriental que reciben pagos directos inferiores a la media de la UE, han decidido hacer lo contrario. No obstante, estos fondos siguen destinándose más a generar ingresos que a modernizar y potenciar las zonas rurales.</w:t>
      </w:r>
    </w:p>
    <w:p w:rsidR="00722110" w:rsidRPr="0066378A" w:rsidRDefault="00722110" w:rsidP="00B954B3">
      <w:pPr>
        <w:rPr>
          <w:lang w:val="es-ES_tradnl"/>
        </w:rPr>
      </w:pPr>
    </w:p>
    <w:p w:rsidR="00722110" w:rsidRPr="0066378A" w:rsidRDefault="00C922B0" w:rsidP="00DB5DCA">
      <w:pPr>
        <w:pStyle w:val="Ttulo1"/>
        <w:rPr>
          <w:lang w:val="es-ES_tradnl"/>
        </w:rPr>
      </w:pPr>
      <w:r w:rsidRPr="0066378A">
        <w:rPr>
          <w:lang w:val="es-ES_tradnl"/>
        </w:rPr>
        <w:t>Resulta inconcebible una verdadera política de desarrollo para las zonas rurales que no tenga en consideración a todas las partes interesadas. Por ello, en los programas de desarrollo rural las instituciones europeas, los Estados miembros y los entes regionales y locales deberían tener debidamente en cuenta la inclusión social, la lucha contra la pobreza y el fomento del crecimiento económico en las zonas rurales. La disminución de los recursos hace muy difícil a los entes locales y regionales financiar estas prioridades.</w:t>
      </w:r>
    </w:p>
    <w:p w:rsidR="00F474AC" w:rsidRPr="0066378A" w:rsidRDefault="00F474AC">
      <w:pPr>
        <w:rPr>
          <w:lang w:val="es-ES_tradnl"/>
        </w:rPr>
      </w:pPr>
    </w:p>
    <w:p w:rsidR="003C5C4F" w:rsidRPr="0066378A" w:rsidRDefault="003C5C4F">
      <w:pPr>
        <w:pStyle w:val="Ttulo1"/>
        <w:rPr>
          <w:lang w:val="es-ES_tradnl"/>
        </w:rPr>
      </w:pPr>
      <w:r w:rsidRPr="0066378A">
        <w:rPr>
          <w:lang w:val="es-ES_tradnl"/>
        </w:rPr>
        <w:t>Para el programa Leader se prevé el 6 % del presupuesto del Feader, lo que en algunos Estados miembros podría no ser suficiente para reactivar las inversiones. Al mismo tiempo, desde 1991 se han creado 150 000 puestos de trabajo a través del programa Leader, siendo este un importante instrumento que fomenta el empleo y, por ende, contribuye a mantener y desarrollar el tejido económico y social en las zonas rurales.</w:t>
      </w:r>
    </w:p>
    <w:p w:rsidR="003C5C4F" w:rsidRPr="0066378A" w:rsidRDefault="003C5C4F" w:rsidP="00B954B3">
      <w:pPr>
        <w:rPr>
          <w:lang w:val="es-ES_tradnl"/>
        </w:rPr>
      </w:pPr>
    </w:p>
    <w:p w:rsidR="003C5C4F" w:rsidRPr="0066378A" w:rsidRDefault="003C5C4F">
      <w:pPr>
        <w:pStyle w:val="Ttulo1"/>
        <w:rPr>
          <w:lang w:val="es-ES_tradnl"/>
        </w:rPr>
      </w:pPr>
      <w:r w:rsidRPr="0066378A">
        <w:rPr>
          <w:lang w:val="es-ES_tradnl"/>
        </w:rPr>
        <w:t>Además de aumentar la cuantía de los fondos, el alcance del desarrollo local debería ampliarse de modo que incluya todos los proyectos de fomento del desarrollo económico y social en las zonas rurales. Debería respaldarse la cooperación de los pequeños productores a fin de aumentar su capacidad de producción, mejorar la eficiencia de los mercados locales, solucionar los problemas relacionados con las cadenas de distribución cortas y apoyar el desarrollo de los productos y la comercialización común. Asimismo, las medidas de este tipo pueden respaldar una mayor cooperación con los centros de educación y formación profesional regionales, las redes del programa Leader y otras formas de colaboración a nivel local.</w:t>
      </w:r>
    </w:p>
    <w:p w:rsidR="003C5C4F" w:rsidRPr="0066378A" w:rsidRDefault="003C5C4F" w:rsidP="00B954B3">
      <w:pPr>
        <w:rPr>
          <w:lang w:val="es-ES_tradnl"/>
        </w:rPr>
      </w:pPr>
    </w:p>
    <w:p w:rsidR="003C5C4F" w:rsidRPr="0066378A" w:rsidRDefault="003C5C4F">
      <w:pPr>
        <w:pStyle w:val="Ttulo1"/>
        <w:rPr>
          <w:lang w:val="es-ES_tradnl"/>
        </w:rPr>
      </w:pPr>
      <w:r w:rsidRPr="0066378A">
        <w:rPr>
          <w:lang w:val="es-ES_tradnl"/>
        </w:rPr>
        <w:t>En uno de los estudios realizados por la Dirección General de Política Regional de la Comisión Europea en apoyo del desarrollo local en el marco de la política de cohesión, las buenas prácticas y las futuras opciones políticas, se recomienda crear una plataforma de coordinación de desarrollo local, cuyo objetivo sería integrar la dimensión local del desarrollo en la Estrategia Europa 2020. La plataforma debería dedicarse a simplificar los procedimientos y a examinar si las distintas políticas sectoriales son coherentes. En la práctica, la plataforma debería adoptar la forma de un «grupo interservicios» de la Comisión, que, llegado el caso, podría ampliarse a representantes de otras instituciones de la UE.</w:t>
      </w:r>
    </w:p>
    <w:p w:rsidR="00722110" w:rsidRPr="0066378A" w:rsidRDefault="00722110" w:rsidP="00B954B3">
      <w:pPr>
        <w:rPr>
          <w:lang w:val="es-ES_tradnl"/>
        </w:rPr>
      </w:pPr>
    </w:p>
    <w:p w:rsidR="00722110" w:rsidRPr="0066378A" w:rsidRDefault="00722110" w:rsidP="00722110">
      <w:pPr>
        <w:pStyle w:val="Ttulo1"/>
        <w:rPr>
          <w:lang w:val="es-ES_tradnl"/>
        </w:rPr>
      </w:pPr>
      <w:r w:rsidRPr="0066378A">
        <w:rPr>
          <w:lang w:val="es-ES_tradnl"/>
        </w:rPr>
        <w:t>Como demuestran diversos estudios, las redes de desarrollo rural aportan una contribución cada vez más importante al desarrollo de las comunidades rurales y al fomento de la innovación en las mismas, en la medida en que pueden ofrecer asesoramiento e información para el desarrollo de soluciones creativas con las que afrontar problemas locales, compartir entre los miembros lecciones y experiencias positivas e identificar fuentes de financiación; por ello se acoge favorablemente la institución de la Red europea de desarrollo rural y de la Red de la Asociación Europea para la Innovación de acuerdo con los artículos 52 y 53 del Reglamento n.º 1305/2013;</w:t>
      </w:r>
    </w:p>
    <w:p w:rsidR="00722110" w:rsidRPr="0066378A" w:rsidRDefault="00722110" w:rsidP="00DB5DCA">
      <w:pPr>
        <w:rPr>
          <w:lang w:val="es-ES_tradnl"/>
        </w:rPr>
      </w:pPr>
    </w:p>
    <w:p w:rsidR="003C5C4F" w:rsidRPr="0066378A" w:rsidRDefault="003C5C4F">
      <w:pPr>
        <w:pStyle w:val="Ttulo1"/>
        <w:rPr>
          <w:lang w:val="es-ES_tradnl"/>
        </w:rPr>
      </w:pPr>
      <w:r w:rsidRPr="0066378A">
        <w:rPr>
          <w:lang w:val="es-ES_tradnl"/>
        </w:rPr>
        <w:t>Durante el anterior período de programación 2007-2013 se destinaron a desarrollo rural 91 000 millones de euros del Feader y 85 000 millones de euros de los demás Fondos Estructurales. Sin embargo, el nuevo Reglamento del FEDER se centra especialmente en las zonas urbanas, y las zonas rurales ni siquiera se mencionan. En consecuencia, se plantea la cuestión de qué posibilidades reales quedan para la cofinanciación de los proyectos de desarrollo en las zonas rurales a cargo de los demás Fondos Estructurales (sobre todo FEDER y FSE), teniendo en cuenta que la mayoría de las medidas previstas en el Reglamento del Feader se reservan a la agricultura.</w:t>
      </w:r>
    </w:p>
    <w:p w:rsidR="00722110" w:rsidRPr="0066378A" w:rsidRDefault="00722110" w:rsidP="00B954B3">
      <w:pPr>
        <w:rPr>
          <w:lang w:val="es-ES_tradnl"/>
        </w:rPr>
      </w:pPr>
    </w:p>
    <w:p w:rsidR="00722110" w:rsidRPr="0066378A" w:rsidRDefault="00722110" w:rsidP="00722110">
      <w:pPr>
        <w:pStyle w:val="Ttulo1"/>
        <w:rPr>
          <w:lang w:val="es-ES_tradnl"/>
        </w:rPr>
      </w:pPr>
      <w:r w:rsidRPr="0066378A">
        <w:rPr>
          <w:lang w:val="es-ES_tradnl"/>
        </w:rPr>
        <w:t>Asimismo, es necesario plantearse la cuestión de la colaboración entre los fondos para afrontar, a través de ayudas específicas, la situación de las zonas con escasa densidad de población y graves y permanentes desventajas demográficas.</w:t>
      </w:r>
    </w:p>
    <w:p w:rsidR="00722110" w:rsidRPr="0066378A" w:rsidRDefault="00722110" w:rsidP="00DB5DCA">
      <w:pPr>
        <w:rPr>
          <w:lang w:val="es-ES_tradnl"/>
        </w:rPr>
      </w:pPr>
    </w:p>
    <w:p w:rsidR="003C5C4F" w:rsidRPr="0066378A" w:rsidRDefault="00722110" w:rsidP="00722110">
      <w:pPr>
        <w:pStyle w:val="Ttulo1"/>
        <w:rPr>
          <w:lang w:val="es-ES_tradnl"/>
        </w:rPr>
      </w:pPr>
      <w:r w:rsidRPr="0066378A">
        <w:rPr>
          <w:lang w:val="es-ES_tradnl"/>
        </w:rPr>
        <w:t>Una reciente visión general de la aplicación de los programas operativos muestra que, por el momento, solo se ha propuesto asignar 22 600 millones de euros de los fondos del FEDER a las zonas rurales. Este solo supone el 11 % del presupuesto total del FEDER.</w:t>
      </w:r>
    </w:p>
    <w:p w:rsidR="00941022" w:rsidRPr="0066378A" w:rsidRDefault="00941022">
      <w:pPr>
        <w:rPr>
          <w:lang w:val="es-ES_tradnl"/>
        </w:rPr>
      </w:pPr>
    </w:p>
    <w:p w:rsidR="00941022" w:rsidRPr="0066378A" w:rsidRDefault="00941022">
      <w:pPr>
        <w:pStyle w:val="Ttulo1"/>
        <w:rPr>
          <w:lang w:val="es-ES_tradnl"/>
        </w:rPr>
      </w:pPr>
      <w:r w:rsidRPr="0066378A">
        <w:rPr>
          <w:lang w:val="es-ES_tradnl"/>
        </w:rPr>
        <w:t>Cabe subrayar que los fondos europeos dedicados a la cooperación territorial también pueden contribuir a poner en común los medios técnicos y humanos en zonas transfronterizas para el desarrollo de áreas rurales situadas en regiones fronterizas.</w:t>
      </w:r>
    </w:p>
    <w:p w:rsidR="003C5C4F" w:rsidRPr="0066378A" w:rsidRDefault="003C5C4F" w:rsidP="00B954B3">
      <w:pPr>
        <w:rPr>
          <w:lang w:val="es-ES_tradnl"/>
        </w:rPr>
      </w:pPr>
    </w:p>
    <w:p w:rsidR="003C5C4F" w:rsidRPr="0066378A" w:rsidRDefault="003C5C4F">
      <w:pPr>
        <w:pStyle w:val="Ttulo1"/>
        <w:rPr>
          <w:lang w:val="es-ES_tradnl"/>
        </w:rPr>
      </w:pPr>
      <w:r w:rsidRPr="0066378A">
        <w:rPr>
          <w:lang w:val="es-ES_tradnl"/>
        </w:rPr>
        <w:t>La Comisión Europea y el Banco Europeo de Inversiones (BEI) presentaron el 23 de marzo de 2015 un modelo de fondo de garantía para la agricultura cuyo objetivo es proporcionar un mejor acceso a los préstamos en las zonas rurales, de modo que los agricultores y otros agentes de las zonas rurales puedan obtener préstamos más fácilmente.</w:t>
      </w:r>
    </w:p>
    <w:p w:rsidR="00722110" w:rsidRPr="0066378A" w:rsidRDefault="00722110" w:rsidP="00B954B3">
      <w:pPr>
        <w:rPr>
          <w:lang w:val="es-ES_tradnl"/>
        </w:rPr>
      </w:pPr>
    </w:p>
    <w:p w:rsidR="003C5C4F" w:rsidRPr="0066378A" w:rsidRDefault="003C5C4F" w:rsidP="00722110">
      <w:pPr>
        <w:pStyle w:val="Ttulo1"/>
        <w:rPr>
          <w:lang w:val="es-ES_tradnl"/>
        </w:rPr>
      </w:pPr>
      <w:r w:rsidRPr="0066378A">
        <w:rPr>
          <w:lang w:val="es-ES_tradnl"/>
        </w:rPr>
        <w:t>El descenso de la población y el éxodo de los jóvenes a las medianas o grandes ciudades es un problema grave en toda Europa. Las principales razones de este éxodo son la falta de empleo, los bajos salarios y el escaso atractivo. Por otra parte, los empresarios rurales se quejan de no encontrar nuevos trabajadores cualificados. Por tanto, es necesario mejorar rápidamente la formación en el medio rural, tanto en lo que se refiere a la formación inicial como a la formación profesional continua.</w:t>
      </w:r>
    </w:p>
    <w:p w:rsidR="00722110" w:rsidRPr="0066378A" w:rsidRDefault="00722110" w:rsidP="00B954B3">
      <w:pPr>
        <w:rPr>
          <w:lang w:val="es-ES_tradnl"/>
        </w:rPr>
      </w:pPr>
    </w:p>
    <w:p w:rsidR="00340012" w:rsidRPr="0066378A" w:rsidRDefault="00722110">
      <w:pPr>
        <w:pStyle w:val="Ttulo1"/>
        <w:rPr>
          <w:lang w:val="es-ES_tradnl"/>
        </w:rPr>
      </w:pPr>
      <w:r w:rsidRPr="0066378A">
        <w:rPr>
          <w:lang w:val="es-ES_tradnl"/>
        </w:rPr>
        <w:t>Es importante ofrecer formación de forma flexible, rápida y adaptada a las circunstancias de la región. Por supuesto, la oferta de formación profesional es más difícil en las zonas rurales que en las ciudades, debido a la dispersión de las viviendas y a las necesidades diferentes de los estudiantes. Una de las formas más sencillas de involucrar a las instituciones educativas y a las empresas es gestionar el empleo de becarios, pero sin apoyo externo esto puede resultar excesivamente oneroso para las pequeñas empresas. Debería considerarse elaborar programas de apoyo a las empresas que ofrezcan períodos de prácticas con una remuneración digna que vayan acompañados de auténticas perspectivas de empleo a largo plazo. Los centros de formación profesional regionales y otros centros educativos deberían contar con amplios recursos y una oferta clara de formación profesional inicial y continua. Al mismo tiempo, en algunos ámbitos la sociedad civil ha contribuido a crear las instituciones necesarias, y esta experiencia debería compartirse con otros ámbitos.</w:t>
      </w:r>
    </w:p>
    <w:p w:rsidR="00340012" w:rsidRPr="0066378A" w:rsidRDefault="00340012" w:rsidP="00B954B3">
      <w:pPr>
        <w:rPr>
          <w:lang w:val="es-ES_tradnl"/>
        </w:rPr>
      </w:pPr>
    </w:p>
    <w:p w:rsidR="00340012" w:rsidRPr="0066378A" w:rsidRDefault="00B34DDE">
      <w:pPr>
        <w:pStyle w:val="Ttulo1"/>
        <w:rPr>
          <w:lang w:val="es-ES_tradnl"/>
        </w:rPr>
      </w:pPr>
      <w:r w:rsidRPr="0066378A">
        <w:rPr>
          <w:lang w:val="es-ES_tradnl"/>
        </w:rPr>
        <w:t>La importancia de la silvicultura para las zonas rurales y la economía rural ha aumentado gracias al rápido desarrollo de la tecnología. Hoy en día, la silvicultura proporciona mucho más que una materia prima (la madera). La madera transformada se utiliza en construcción, y también se utiliza la fibra de madera, por ejemplo, en la confección textil o en la industria del automóvil, e incluso en la industria alimentaria.</w:t>
      </w:r>
    </w:p>
    <w:p w:rsidR="00722110" w:rsidRPr="0066378A" w:rsidRDefault="00722110" w:rsidP="00B954B3">
      <w:pPr>
        <w:rPr>
          <w:lang w:val="es-ES_tradnl"/>
        </w:rPr>
      </w:pPr>
    </w:p>
    <w:p w:rsidR="003C5C4F" w:rsidRPr="0066378A" w:rsidRDefault="003C5C4F" w:rsidP="00722110">
      <w:pPr>
        <w:pStyle w:val="Ttulo1"/>
        <w:rPr>
          <w:lang w:val="es-ES_tradnl"/>
        </w:rPr>
      </w:pPr>
      <w:r w:rsidRPr="0066378A">
        <w:rPr>
          <w:lang w:val="es-ES_tradnl"/>
        </w:rPr>
        <w:t>Las redes de telecomunicaciones de alta velocidad revisten una importancia clave para la competitividad y el crecimiento económico. Solo si se dispone de una internet rápida y fiable pueden ofrecerse servicios digitales de calidad. Aunque la cobertura de banda ancha en la UE en los últimos años ha mejorado mucho, y en bastantes zonas ya se ha instalado la infraestructura necesaria, hay otros muchos lugares en los que sigue habiendo un considerable retraso. Por otra parte, las estadísticas sobre la cobertura no siempre reflejan la calidad de la prestación de banda ancha en las zonas rurales. En consonancia con los objetivos establecidos en la Agenda Digital para Europa 2020, deben realizarse esfuerzos que garanticen la misma capacidad en toda la UE. El contraste entre las zonas rurales y urbanas en este aspecto es especialmente manifiesto. En algunos ámbitos en los que, en principio, se dispone de accesibilidad básica, para estar conectado el usuario final tiene que realizar considerables inversiones que ha de financiar con cargo a su bolsillo. Deben hacerse mayores esfuerzos para promover el éxito del mercado virtual, mejorar el acceso a unos servicios de comunicación digital asequibles y desarrollar servicios en línea en las zonas rurales.</w:t>
      </w:r>
    </w:p>
    <w:p w:rsidR="003C5C4F" w:rsidRPr="0066378A" w:rsidRDefault="003C5C4F" w:rsidP="00B954B3">
      <w:pPr>
        <w:rPr>
          <w:lang w:val="es-ES_tradnl"/>
        </w:rPr>
      </w:pPr>
    </w:p>
    <w:p w:rsidR="003C5C4F" w:rsidRPr="0066378A" w:rsidRDefault="003C5C4F">
      <w:pPr>
        <w:pStyle w:val="Ttulo1"/>
        <w:rPr>
          <w:lang w:val="es-ES_tradnl"/>
        </w:rPr>
      </w:pPr>
      <w:r w:rsidRPr="0066378A">
        <w:rPr>
          <w:lang w:val="es-ES_tradnl"/>
        </w:rPr>
        <w:t>Además de disponer de la infraestructura, es importante asegurarse de que los ciudadanos y las empresas sean buenos usuarios de la oferta. Los estudios muestran que la mayoría solo aprovecha las posibilidades de modo relativamente limitado, aun contando con un buen acceso a internet. Las medidas de formación y de difusión de la información sobre las diversas posibilidades –en particular sobre el uso de las TIC en las pequeñas empresas para el desarrollo de productos– podrían brindar una oportunidad a las zonas rurales.</w:t>
      </w:r>
    </w:p>
    <w:p w:rsidR="003C5C4F" w:rsidRPr="0066378A" w:rsidRDefault="003C5C4F" w:rsidP="00B954B3">
      <w:pPr>
        <w:rPr>
          <w:lang w:val="es-ES_tradnl"/>
        </w:rPr>
      </w:pPr>
    </w:p>
    <w:p w:rsidR="003C5C4F" w:rsidRPr="0066378A" w:rsidRDefault="003C5C4F">
      <w:pPr>
        <w:pStyle w:val="Ttulo1"/>
        <w:rPr>
          <w:lang w:val="es-ES_tradnl"/>
        </w:rPr>
      </w:pPr>
      <w:r w:rsidRPr="0066378A">
        <w:rPr>
          <w:lang w:val="es-ES_tradnl"/>
        </w:rPr>
        <w:t>Actualmente, el concepto de «ciudades inteligentes» se asocia, por lo general, a las grandes ciudades, en las que se producen los cambios y se exploran perspectivas de desarrollo. Por la misma razón, también las zonas rurales harían bien en abrirse a este concepto. «Ciudad» y «campo» no deben considerarse como conceptos opuestos, sino que entre ambos debería crearse una sinergia a la que pueden contribuir las nuevas tecnologías y su implantación sobre el terreno. Para evitar que se cree una dicotomía entre las zonas urbanas y las rurales es preciso hablar de «regiones inteligentes».</w:t>
      </w:r>
    </w:p>
    <w:p w:rsidR="00722110" w:rsidRPr="0066378A" w:rsidRDefault="00722110" w:rsidP="00B954B3">
      <w:pPr>
        <w:rPr>
          <w:lang w:val="es-ES_tradnl"/>
        </w:rPr>
      </w:pPr>
    </w:p>
    <w:p w:rsidR="00722110" w:rsidRPr="0066378A" w:rsidRDefault="00722110" w:rsidP="00722110">
      <w:pPr>
        <w:pStyle w:val="Ttulo1"/>
        <w:rPr>
          <w:lang w:val="es-ES_tradnl"/>
        </w:rPr>
      </w:pPr>
      <w:r w:rsidRPr="0066378A">
        <w:rPr>
          <w:lang w:val="es-ES_tradnl"/>
        </w:rPr>
        <w:t>La política agrícola común regula la agricultura y el papel fundamental que esta desempeña en el desarrollo rural. A escala regional, este último está estrechamente ligado al desarrollo de la agricultura. Si las zonas rurales no implican necesariamente agricultura, no cabe duda de que sin agricultura, no hay zonas rurales. El desarrollo de la agricultura no podrá lograrse independientemente del resto, y debe seguir garantizándose la convergencia entre, por una parte, sus condiciones y los objetivos que persigue y, por otra, los del desarrollo rural, de manera que el desarrollo de la agricultura contribuya a aumentar el nivel de vida de la población rural y de los trabajadores del sector agrícola, así como de los habitantes de las ciudades vecinas.</w:t>
      </w:r>
    </w:p>
    <w:p w:rsidR="00722110" w:rsidRPr="0066378A" w:rsidRDefault="00722110" w:rsidP="00DB5DCA">
      <w:pPr>
        <w:rPr>
          <w:lang w:val="es-ES_tradnl"/>
        </w:rPr>
      </w:pPr>
    </w:p>
    <w:p w:rsidR="003C5C4F" w:rsidRPr="0066378A" w:rsidRDefault="003C5C4F">
      <w:pPr>
        <w:pStyle w:val="Ttulo1"/>
        <w:rPr>
          <w:lang w:val="es-ES_tradnl"/>
        </w:rPr>
      </w:pPr>
      <w:r w:rsidRPr="0066378A">
        <w:rPr>
          <w:lang w:val="es-ES_tradnl"/>
        </w:rPr>
        <w:t>La Asociación Europea para la Innovación «Productividad y sostenibilidad agrícolas» es un planteamiento novedoso destinado a subsanar las deficiencias, los puntos débiles y los obstáculos que impiden o frenan el desarrollo y la comercialización de buenas ideas procedentes de la investigación y la innovación europeas. Es preciso hallar soluciones, en particular con respecto a la insuficiencia de inversiones, la obsolescencia de la legislación, la falta de normas y los problemas provocados por la fragmentación de los mercados.</w:t>
      </w:r>
    </w:p>
    <w:p w:rsidR="00941022" w:rsidRPr="0066378A" w:rsidRDefault="00941022">
      <w:pPr>
        <w:rPr>
          <w:lang w:val="es-ES_tradnl"/>
        </w:rPr>
      </w:pPr>
    </w:p>
    <w:p w:rsidR="00941022" w:rsidRPr="0066378A" w:rsidRDefault="00941022">
      <w:pPr>
        <w:pStyle w:val="Ttulo1"/>
        <w:rPr>
          <w:lang w:val="es-ES_tradnl"/>
        </w:rPr>
      </w:pPr>
      <w:r w:rsidRPr="0066378A">
        <w:rPr>
          <w:lang w:val="es-ES_tradnl"/>
        </w:rPr>
        <w:t>Dadas las dificultades de accesibilidad física que tienen muchas de las zonas rurales, que impiden explotar todo su potencial económico, es necesario también que los fondos públicos tengan presente la correcta conexión de las áreas rurales y urbanas mediante redes de transporte rápidas que a la vez respeten el entorno medioambiental por el que han de discurrir.</w:t>
      </w:r>
    </w:p>
    <w:p w:rsidR="003C5C4F" w:rsidRPr="0066378A" w:rsidRDefault="003C5C4F" w:rsidP="00B954B3">
      <w:pPr>
        <w:rPr>
          <w:lang w:val="es-ES_tradnl"/>
        </w:rPr>
      </w:pPr>
    </w:p>
    <w:p w:rsidR="003C5C4F" w:rsidRPr="0066378A" w:rsidRDefault="003C5C4F">
      <w:pPr>
        <w:keepNext/>
        <w:keepLines/>
        <w:numPr>
          <w:ilvl w:val="0"/>
          <w:numId w:val="1"/>
        </w:numPr>
        <w:ind w:left="567" w:hanging="567"/>
        <w:rPr>
          <w:lang w:val="es-ES_tradnl"/>
        </w:rPr>
      </w:pPr>
      <w:r w:rsidRPr="0066378A">
        <w:rPr>
          <w:b/>
          <w:lang w:val="es-ES_tradnl"/>
        </w:rPr>
        <w:t>RECOMENDACIONES POLÍTICAS</w:t>
      </w:r>
    </w:p>
    <w:p w:rsidR="003C5C4F" w:rsidRPr="0066378A" w:rsidRDefault="003C5C4F">
      <w:pPr>
        <w:keepNext/>
        <w:keepLines/>
        <w:rPr>
          <w:lang w:val="es-ES_tradnl"/>
        </w:rPr>
      </w:pPr>
    </w:p>
    <w:p w:rsidR="00E85EEC" w:rsidRPr="0066378A" w:rsidRDefault="003C5C4F">
      <w:pPr>
        <w:keepNext/>
        <w:keepLines/>
        <w:rPr>
          <w:lang w:val="es-ES_tradnl"/>
        </w:rPr>
      </w:pPr>
      <w:r w:rsidRPr="0066378A">
        <w:rPr>
          <w:lang w:val="es-ES_tradnl"/>
        </w:rPr>
        <w:t>El COMITÉ EUROPEO DE LAS REGIONES</w:t>
      </w:r>
    </w:p>
    <w:p w:rsidR="00E85EEC" w:rsidRPr="0066378A" w:rsidRDefault="00E85EEC">
      <w:pPr>
        <w:keepNext/>
        <w:keepLines/>
        <w:rPr>
          <w:lang w:val="es-ES_tradnl"/>
        </w:rPr>
      </w:pPr>
    </w:p>
    <w:p w:rsidR="00340012" w:rsidRPr="0066378A" w:rsidRDefault="003C5C4F">
      <w:pPr>
        <w:pStyle w:val="Ttulo1"/>
        <w:rPr>
          <w:lang w:val="es-ES_tradnl"/>
        </w:rPr>
      </w:pPr>
      <w:r w:rsidRPr="0066378A">
        <w:rPr>
          <w:lang w:val="es-ES_tradnl"/>
        </w:rPr>
        <w:t>considera que los problemas económicos, medioambientales y sociales que surgen en todas las regiones de la Unión Europea, en particular en las zonas rurales, solo pueden ser resueltos mediante políticas integradas;</w:t>
      </w:r>
    </w:p>
    <w:p w:rsidR="00340012" w:rsidRPr="0066378A" w:rsidRDefault="00340012" w:rsidP="00B954B3">
      <w:pPr>
        <w:rPr>
          <w:lang w:val="es-ES_tradnl"/>
        </w:rPr>
      </w:pPr>
    </w:p>
    <w:p w:rsidR="003C5C4F" w:rsidRPr="0066378A" w:rsidRDefault="003C5C4F" w:rsidP="00B954B3">
      <w:pPr>
        <w:keepNext/>
        <w:rPr>
          <w:lang w:val="es-ES_tradnl"/>
        </w:rPr>
      </w:pPr>
      <w:r w:rsidRPr="0066378A">
        <w:rPr>
          <w:lang w:val="es-ES_tradnl"/>
        </w:rPr>
        <w:t>y, por lo tanto, se pronuncia a favor de:</w:t>
      </w:r>
    </w:p>
    <w:p w:rsidR="004D01B9" w:rsidRPr="0066378A" w:rsidRDefault="004D01B9" w:rsidP="00B402E2">
      <w:pPr>
        <w:rPr>
          <w:lang w:val="es-ES_tradnl"/>
        </w:rPr>
      </w:pPr>
    </w:p>
    <w:p w:rsidR="004D01B9" w:rsidRPr="0066378A" w:rsidRDefault="004D01B9" w:rsidP="00B954B3">
      <w:pPr>
        <w:keepNext/>
        <w:rPr>
          <w:lang w:val="es-ES_tradnl"/>
        </w:rPr>
      </w:pPr>
    </w:p>
    <w:p w:rsidR="00340012" w:rsidRPr="0066378A" w:rsidRDefault="004D01B9">
      <w:pPr>
        <w:pStyle w:val="Ttulo1"/>
        <w:rPr>
          <w:lang w:val="es-ES_tradnl"/>
        </w:rPr>
      </w:pPr>
      <w:r w:rsidRPr="0066378A">
        <w:rPr>
          <w:lang w:val="es-ES_tradnl"/>
        </w:rPr>
        <w:t>celebrar el reciente establecimiento de un marco estratégico común e invitar a la Comisión a que continúe la armonización de las normas de los Fondos Estructurales con el fin de planificar y orientar mejor el desarrollo rural;</w:t>
      </w:r>
    </w:p>
    <w:p w:rsidR="004D01B9" w:rsidRPr="0066378A" w:rsidRDefault="004D01B9" w:rsidP="00B954B3">
      <w:pPr>
        <w:rPr>
          <w:lang w:val="es-ES_tradnl"/>
        </w:rPr>
      </w:pPr>
    </w:p>
    <w:p w:rsidR="004D01B9" w:rsidRPr="0066378A" w:rsidRDefault="004D01B9" w:rsidP="004D01B9">
      <w:pPr>
        <w:pStyle w:val="Ttulo1"/>
        <w:rPr>
          <w:lang w:val="es-ES_tradnl"/>
        </w:rPr>
      </w:pPr>
      <w:r w:rsidRPr="0066378A">
        <w:rPr>
          <w:lang w:val="es-ES_tradnl"/>
        </w:rPr>
        <w:t>garantizar la eficacia y eficiencia de las disposiciones legales relativas a la integración de los fondos, la innovación en el sector agrícola y rural y los planteamientos cooperativos, como elementos de mayor novedad de la reforma de la política de desarrollo rural;</w:t>
      </w:r>
    </w:p>
    <w:p w:rsidR="004D01B9" w:rsidRPr="0066378A" w:rsidRDefault="004D01B9" w:rsidP="00DB5DCA">
      <w:pPr>
        <w:rPr>
          <w:lang w:val="es-ES_tradnl"/>
        </w:rPr>
      </w:pPr>
    </w:p>
    <w:p w:rsidR="00340012" w:rsidRPr="0066378A" w:rsidRDefault="00340012">
      <w:pPr>
        <w:pStyle w:val="Ttulo1"/>
        <w:rPr>
          <w:lang w:val="es-ES_tradnl"/>
        </w:rPr>
      </w:pPr>
      <w:r w:rsidRPr="0066378A">
        <w:rPr>
          <w:lang w:val="es-ES_tradnl"/>
        </w:rPr>
        <w:t>hacer una contribución diferenciada y tener en cuenta las necesidades de las zonas rurales en todas las políticas de la UE, como ocurre actualmente en el caso de las ciudades;</w:t>
      </w:r>
    </w:p>
    <w:p w:rsidR="004D01B9" w:rsidRPr="0066378A" w:rsidRDefault="004D01B9" w:rsidP="00DB5DCA">
      <w:pPr>
        <w:rPr>
          <w:lang w:val="es-ES_tradnl"/>
        </w:rPr>
      </w:pPr>
    </w:p>
    <w:p w:rsidR="00103AE4" w:rsidRPr="0066378A" w:rsidRDefault="003C5C4F" w:rsidP="004D01B9">
      <w:pPr>
        <w:pStyle w:val="Ttulo1"/>
        <w:rPr>
          <w:lang w:val="es-ES_tradnl"/>
        </w:rPr>
      </w:pPr>
      <w:r w:rsidRPr="0066378A">
        <w:rPr>
          <w:lang w:val="es-ES_tradnl"/>
        </w:rPr>
        <w:t xml:space="preserve">poner de relieve que las medidas de austeridad y la reducción global de los fondos para la agricultura y el desarrollo rural han puesto en peligro la supervivencia de las zonas rurales, por lo que contravienen el principio de cohesión territorial de la UE; </w:t>
      </w:r>
    </w:p>
    <w:p w:rsidR="00103AE4" w:rsidRPr="0066378A" w:rsidRDefault="00103AE4" w:rsidP="00DB5DCA">
      <w:pPr>
        <w:rPr>
          <w:lang w:val="es-ES_tradnl"/>
        </w:rPr>
      </w:pPr>
    </w:p>
    <w:p w:rsidR="0078262E" w:rsidRPr="0066378A" w:rsidRDefault="004D01B9" w:rsidP="004D01B9">
      <w:pPr>
        <w:pStyle w:val="Ttulo1"/>
        <w:rPr>
          <w:lang w:val="es-ES_tradnl"/>
        </w:rPr>
      </w:pPr>
      <w:r w:rsidRPr="0066378A">
        <w:rPr>
          <w:lang w:val="es-ES_tradnl"/>
        </w:rPr>
        <w:t>pedir a la Comisión que apoye mejor a las zonas rurales que, con gran esfuerzo, han tenido que transformar su modelo económico, como por ejemplo del sector agrícola al turístico;</w:t>
      </w:r>
    </w:p>
    <w:p w:rsidR="00941022" w:rsidRPr="0066378A" w:rsidRDefault="00941022" w:rsidP="00B954B3">
      <w:pPr>
        <w:rPr>
          <w:lang w:val="es-ES_tradnl"/>
        </w:rPr>
      </w:pPr>
    </w:p>
    <w:p w:rsidR="0078262E" w:rsidRPr="0066378A" w:rsidRDefault="00F134C4">
      <w:pPr>
        <w:pStyle w:val="Ttulo1"/>
        <w:rPr>
          <w:lang w:val="es-ES_tradnl"/>
        </w:rPr>
      </w:pPr>
      <w:r w:rsidRPr="0066378A">
        <w:rPr>
          <w:lang w:val="es-ES_tradnl"/>
        </w:rPr>
        <w:t xml:space="preserve">incrementar el apoyo financiero global de la UE al desarrollo rural a fin de contrarrestar la creciente concentración de la producción agrícola </w:t>
      </w:r>
      <w:r w:rsidR="00B402E2" w:rsidRPr="0066378A">
        <w:rPr>
          <w:lang w:val="es-ES_tradnl"/>
        </w:rPr>
        <w:t>–</w:t>
      </w:r>
      <w:r w:rsidRPr="0066378A">
        <w:rPr>
          <w:lang w:val="es-ES_tradnl"/>
        </w:rPr>
        <w:t>que está dando lugar a importantes disparidades regionales</w:t>
      </w:r>
      <w:r w:rsidR="00B402E2" w:rsidRPr="0066378A">
        <w:rPr>
          <w:lang w:val="es-ES_tradnl"/>
        </w:rPr>
        <w:t>–</w:t>
      </w:r>
      <w:r w:rsidRPr="0066378A">
        <w:rPr>
          <w:lang w:val="es-ES_tradnl"/>
        </w:rPr>
        <w:t xml:space="preserve"> y poner un tope a las transferencias del segundo al primer pilar;</w:t>
      </w:r>
    </w:p>
    <w:p w:rsidR="004D01B9" w:rsidRPr="0066378A" w:rsidRDefault="004D01B9" w:rsidP="00B954B3">
      <w:pPr>
        <w:rPr>
          <w:lang w:val="es-ES_tradnl"/>
        </w:rPr>
      </w:pPr>
    </w:p>
    <w:p w:rsidR="000602A8" w:rsidRPr="0066378A" w:rsidRDefault="004D01B9" w:rsidP="004D01B9">
      <w:pPr>
        <w:pStyle w:val="Ttulo1"/>
        <w:rPr>
          <w:lang w:val="es-ES_tradnl"/>
        </w:rPr>
      </w:pPr>
      <w:r w:rsidRPr="0066378A">
        <w:rPr>
          <w:lang w:val="es-ES_tradnl"/>
        </w:rPr>
        <w:t>considerar, en la perspectiva de la revisión intermedia del marco financiero plurianual, que se destinen al desarrollo local más fondos de la UE en el período de programación 2014-2020;</w:t>
      </w:r>
    </w:p>
    <w:p w:rsidR="004D01B9" w:rsidRPr="0066378A" w:rsidRDefault="004D01B9" w:rsidP="00B954B3">
      <w:pPr>
        <w:rPr>
          <w:lang w:val="es-ES_tradnl"/>
        </w:rPr>
      </w:pPr>
    </w:p>
    <w:p w:rsidR="004D01B9" w:rsidRPr="0066378A" w:rsidRDefault="004D01B9" w:rsidP="004D01B9">
      <w:pPr>
        <w:pStyle w:val="Ttulo1"/>
        <w:rPr>
          <w:lang w:val="es-ES_tradnl"/>
        </w:rPr>
      </w:pPr>
      <w:r w:rsidRPr="0066378A">
        <w:rPr>
          <w:lang w:val="es-ES_tradnl"/>
        </w:rPr>
        <w:t>dada la importancia ya reconocida de fomentar el desarrollo rural, pedir que en el programa Leader se reconozca un porcentaje mínimo que sea superior al 5 % de la contribución total del Feader;</w:t>
      </w:r>
    </w:p>
    <w:p w:rsidR="004D01B9" w:rsidRPr="0066378A" w:rsidRDefault="004D01B9" w:rsidP="00DB5DCA">
      <w:pPr>
        <w:rPr>
          <w:lang w:val="es-ES_tradnl"/>
        </w:rPr>
      </w:pPr>
    </w:p>
    <w:p w:rsidR="004D01B9" w:rsidRPr="0066378A" w:rsidRDefault="004D01B9" w:rsidP="004D01B9">
      <w:pPr>
        <w:pStyle w:val="Ttulo1"/>
        <w:rPr>
          <w:lang w:val="es-ES_tradnl"/>
        </w:rPr>
      </w:pPr>
      <w:r w:rsidRPr="0066378A">
        <w:rPr>
          <w:lang w:val="es-ES_tradnl"/>
        </w:rPr>
        <w:t>prestar especial atención a los programas en favor de la renovación y el desarrollo de los municipios escasamente poblados o con riesgo de despoblación, y que valoricen su patrimonio histórico o cultural con fines turísticos;</w:t>
      </w:r>
    </w:p>
    <w:p w:rsidR="004D01B9" w:rsidRPr="0066378A" w:rsidRDefault="004D01B9" w:rsidP="00DB5DCA">
      <w:pPr>
        <w:rPr>
          <w:lang w:val="es-ES_tradnl"/>
        </w:rPr>
      </w:pPr>
    </w:p>
    <w:p w:rsidR="003C5C4F" w:rsidRPr="0066378A" w:rsidRDefault="003C5C4F">
      <w:pPr>
        <w:pStyle w:val="Ttulo1"/>
        <w:rPr>
          <w:lang w:val="es-ES_tradnl"/>
        </w:rPr>
      </w:pPr>
      <w:r w:rsidRPr="0066378A">
        <w:rPr>
          <w:lang w:val="es-ES_tradnl"/>
        </w:rPr>
        <w:t>apoyar la petición del Movimiento Europeo de la Ruralidad (M. E. R.) y del Grupo de trabajo ampliado sobre las zonas rurales, montañosas y aisladas del Parlamento Europeo dirigida a la Comisión para que elabore un Libro Blanco como punto de partida de una política de desarrollo para las zonas rurales después de 2020;</w:t>
      </w:r>
    </w:p>
    <w:p w:rsidR="003C5C4F" w:rsidRPr="0066378A" w:rsidRDefault="003C5C4F" w:rsidP="00B954B3">
      <w:pPr>
        <w:rPr>
          <w:lang w:val="es-ES_tradnl"/>
        </w:rPr>
      </w:pPr>
    </w:p>
    <w:p w:rsidR="003C5C4F" w:rsidRPr="0066378A" w:rsidRDefault="003C5C4F">
      <w:pPr>
        <w:pStyle w:val="Ttulo1"/>
        <w:rPr>
          <w:lang w:val="es-ES_tradnl"/>
        </w:rPr>
      </w:pPr>
      <w:r w:rsidRPr="0066378A">
        <w:rPr>
          <w:lang w:val="es-ES_tradnl"/>
        </w:rPr>
        <w:t>apoyar activamente la plataforma de coordinación para el desarrollo local que debe crear la Comisión Europea;</w:t>
      </w:r>
    </w:p>
    <w:p w:rsidR="003C5C4F" w:rsidRPr="0066378A" w:rsidRDefault="003C5C4F" w:rsidP="000954B0">
      <w:pPr>
        <w:rPr>
          <w:lang w:val="es-ES_tradnl"/>
        </w:rPr>
      </w:pPr>
    </w:p>
    <w:p w:rsidR="003C5C4F" w:rsidRPr="0066378A" w:rsidRDefault="003C5C4F">
      <w:pPr>
        <w:pStyle w:val="Ttulo1"/>
        <w:rPr>
          <w:lang w:val="es-ES_tradnl"/>
        </w:rPr>
      </w:pPr>
      <w:r w:rsidRPr="0066378A">
        <w:rPr>
          <w:lang w:val="es-ES_tradnl"/>
        </w:rPr>
        <w:t>destacar la importancia de las zonas rurales como polos de desarrollo e innovación que contribuyen a la Estrategia Europa 2020;</w:t>
      </w:r>
    </w:p>
    <w:p w:rsidR="004D01B9" w:rsidRPr="0066378A" w:rsidRDefault="004D01B9" w:rsidP="00DB5DCA">
      <w:pPr>
        <w:rPr>
          <w:lang w:val="es-ES_tradnl"/>
        </w:rPr>
      </w:pPr>
    </w:p>
    <w:p w:rsidR="004D01B9" w:rsidRPr="0066378A" w:rsidRDefault="004D01B9" w:rsidP="004D01B9">
      <w:pPr>
        <w:pStyle w:val="Ttulo1"/>
        <w:rPr>
          <w:lang w:val="es-ES_tradnl"/>
        </w:rPr>
      </w:pPr>
      <w:r w:rsidRPr="0066378A">
        <w:rPr>
          <w:lang w:val="es-ES_tradnl"/>
        </w:rPr>
        <w:t>incluir en el FEDER un claro reconocimiento del valor añadido de la cooperación entre las zonas urbanas y rurales, y un refuerzo del enfoque funcional en este ámbito, a fin de aprovechar plenamente el potencial de la cooperación entre la ciudad y el campo y, gracias a estas zonas funcionales, realizar una importante contribución a la cohesión territorial;</w:t>
      </w:r>
    </w:p>
    <w:p w:rsidR="004965BF" w:rsidRPr="0066378A" w:rsidRDefault="004965BF" w:rsidP="00DB5DCA">
      <w:pPr>
        <w:rPr>
          <w:lang w:val="es-ES_tradnl"/>
        </w:rPr>
      </w:pPr>
    </w:p>
    <w:p w:rsidR="003C5C4F" w:rsidRPr="0066378A" w:rsidRDefault="003C5C4F">
      <w:pPr>
        <w:pStyle w:val="Ttulo1"/>
        <w:rPr>
          <w:lang w:val="es-ES_tradnl"/>
        </w:rPr>
      </w:pPr>
      <w:r w:rsidRPr="0066378A">
        <w:rPr>
          <w:lang w:val="es-ES_tradnl"/>
        </w:rPr>
        <w:t>manifestarse en contra del principio de condicionalidad macroeconómica para la asignación de fondos de la UE, ya que es necesario tener en cuenta también los indicadores sociales y medioambientales;</w:t>
      </w:r>
    </w:p>
    <w:p w:rsidR="00ED3BAD" w:rsidRPr="0066378A" w:rsidRDefault="00ED3BAD" w:rsidP="00B954B3">
      <w:pPr>
        <w:rPr>
          <w:lang w:val="es-ES_tradnl"/>
        </w:rPr>
      </w:pPr>
    </w:p>
    <w:p w:rsidR="00ED3BAD" w:rsidRPr="0066378A" w:rsidRDefault="00ED3BAD" w:rsidP="00ED3BAD">
      <w:pPr>
        <w:pStyle w:val="Ttulo1"/>
        <w:rPr>
          <w:lang w:val="es-ES_tradnl"/>
        </w:rPr>
      </w:pPr>
      <w:r w:rsidRPr="0066378A">
        <w:rPr>
          <w:lang w:val="es-ES_tradnl"/>
        </w:rPr>
        <w:t>prestar especial atención a los enfoques innovadores en las zonas rurales, ya que podrían servir de modelo para otras regiones y zonas;</w:t>
      </w:r>
    </w:p>
    <w:p w:rsidR="00ED3BAD" w:rsidRPr="0066378A" w:rsidRDefault="00ED3BAD" w:rsidP="00DB5DCA">
      <w:pPr>
        <w:rPr>
          <w:lang w:val="es-ES_tradnl"/>
        </w:rPr>
      </w:pPr>
    </w:p>
    <w:p w:rsidR="003C5C4F" w:rsidRPr="0066378A" w:rsidRDefault="003C5C4F" w:rsidP="00ED3BAD">
      <w:pPr>
        <w:pStyle w:val="Ttulo1"/>
        <w:rPr>
          <w:lang w:val="es-ES_tradnl"/>
        </w:rPr>
      </w:pPr>
      <w:r w:rsidRPr="0066378A">
        <w:rPr>
          <w:lang w:val="es-ES_tradnl"/>
        </w:rPr>
        <w:t>garantizar que los fondos del BEI y los programas de innovación y de investigación científica en materia de agricultura se orienten en particular a las zonas ganaderas y con desventajas naturales, caso de las zonas de montaña, así como a las pequeñas empresas agrarias de carácter familiar, teniendo en cuenta también las soluciones a los retos sociales, a fin de mantener una agricultura sostenible en todas las regiones y preservar las comunidades rurales, reduciendo así las disparidades regionales;</w:t>
      </w:r>
    </w:p>
    <w:p w:rsidR="00ED3BAD" w:rsidRPr="0066378A" w:rsidRDefault="00ED3BAD" w:rsidP="00B954B3">
      <w:pPr>
        <w:rPr>
          <w:lang w:val="es-ES_tradnl"/>
        </w:rPr>
      </w:pPr>
    </w:p>
    <w:p w:rsidR="008461A2" w:rsidRPr="0066378A" w:rsidRDefault="008461A2" w:rsidP="00ED3BAD">
      <w:pPr>
        <w:pStyle w:val="Ttulo1"/>
        <w:rPr>
          <w:lang w:val="es-ES_tradnl"/>
        </w:rPr>
      </w:pPr>
      <w:r w:rsidRPr="0066378A">
        <w:rPr>
          <w:lang w:val="es-ES_tradnl"/>
        </w:rPr>
        <w:t>destacar la importancia que la cooperación para la innovación reviste a la hora de modernizar la economía rural, sobre todo en la medida en que se propone lograr una relación más estrecha entre la política agrícola y la política de investigación, entre investigadores y agricultores. Por ello hay que aprovechar plenamente las medidas previstas en el Reglamento n.º 1305/2013, en apoyo a la prioridad relativa a la «transferencia de conocimientos y la innovación en la agricultura, la silvicultura y las zonas rurales»;</w:t>
      </w:r>
    </w:p>
    <w:p w:rsidR="00ED3BAD" w:rsidRPr="0066378A" w:rsidRDefault="00ED3BAD" w:rsidP="00DB5DCA">
      <w:pPr>
        <w:rPr>
          <w:lang w:val="es-ES_tradnl"/>
        </w:rPr>
      </w:pPr>
    </w:p>
    <w:p w:rsidR="00ED3BAD" w:rsidRPr="0066378A" w:rsidRDefault="00ED3BAD" w:rsidP="00ED3BAD">
      <w:pPr>
        <w:pStyle w:val="Ttulo1"/>
        <w:rPr>
          <w:lang w:val="es-ES_tradnl"/>
        </w:rPr>
      </w:pPr>
      <w:r w:rsidRPr="0066378A">
        <w:rPr>
          <w:lang w:val="es-ES_tradnl"/>
        </w:rPr>
        <w:t>abogar por el desarrollo a nivel europeo de directrices apropiadas que definan las funciones y cometidos de las distintas redes rurales nacionales, así como las modalidades de asistencia en la aplicación de los respectivos planes de desarrollo rural;</w:t>
      </w:r>
    </w:p>
    <w:p w:rsidR="00ED3BAD" w:rsidRPr="0066378A" w:rsidRDefault="00ED3BAD" w:rsidP="00DB5DCA">
      <w:pPr>
        <w:rPr>
          <w:lang w:val="es-ES_tradnl"/>
        </w:rPr>
      </w:pPr>
    </w:p>
    <w:p w:rsidR="008461A2" w:rsidRPr="0066378A" w:rsidRDefault="003C2E3C">
      <w:pPr>
        <w:pStyle w:val="Ttulo1"/>
        <w:rPr>
          <w:lang w:val="es-ES_tradnl"/>
        </w:rPr>
      </w:pPr>
      <w:r w:rsidRPr="0066378A">
        <w:rPr>
          <w:lang w:val="es-ES_tradnl"/>
        </w:rPr>
        <w:t>aspirar a una mejor coordinación de la política de innovación a nivel de la UE;</w:t>
      </w:r>
    </w:p>
    <w:p w:rsidR="000602A8" w:rsidRPr="0066378A" w:rsidRDefault="000602A8" w:rsidP="00B954B3">
      <w:pPr>
        <w:rPr>
          <w:lang w:val="es-ES_tradnl"/>
        </w:rPr>
      </w:pPr>
    </w:p>
    <w:p w:rsidR="003C5C4F" w:rsidRPr="0066378A" w:rsidRDefault="003C5C4F">
      <w:pPr>
        <w:pStyle w:val="Ttulo1"/>
        <w:rPr>
          <w:lang w:val="es-ES_tradnl"/>
        </w:rPr>
      </w:pPr>
      <w:r w:rsidRPr="0066378A">
        <w:rPr>
          <w:lang w:val="es-ES_tradnl"/>
        </w:rPr>
        <w:t>llamar la atención expresamente sobre el hecho de que las zonas rurales no formen parte de los principales grupos destinatarios de la asociación para la innovación de la Comisión Europea para el desarrollo local («Ciudades y comunidades inteligentes»);</w:t>
      </w:r>
    </w:p>
    <w:p w:rsidR="00ED3BAD" w:rsidRPr="0066378A" w:rsidRDefault="00ED3BAD" w:rsidP="00DB5DCA">
      <w:pPr>
        <w:rPr>
          <w:lang w:val="es-ES_tradnl"/>
        </w:rPr>
      </w:pPr>
    </w:p>
    <w:p w:rsidR="003C5C4F" w:rsidRPr="0066378A" w:rsidRDefault="00ED3BAD" w:rsidP="00ED3BAD">
      <w:pPr>
        <w:pStyle w:val="Ttulo1"/>
        <w:rPr>
          <w:lang w:val="es-ES_tradnl"/>
        </w:rPr>
      </w:pPr>
      <w:r w:rsidRPr="0066378A">
        <w:rPr>
          <w:lang w:val="es-ES_tradnl"/>
        </w:rPr>
        <w:t>lamentar los resultados del informe provisional sobre la ejecución de los programas operativos, que pone de relieve que, en la actualidad, está previsto que solo el 11 % de los fondos del FEDER se asigne a las zonas rurales.</w:t>
      </w:r>
    </w:p>
    <w:p w:rsidR="003C5C4F" w:rsidRPr="0066378A" w:rsidRDefault="003C5C4F" w:rsidP="00B954B3">
      <w:pPr>
        <w:rPr>
          <w:lang w:val="es-ES_tradnl"/>
        </w:rPr>
      </w:pPr>
    </w:p>
    <w:p w:rsidR="003C5C4F" w:rsidRPr="0066378A" w:rsidRDefault="003C5C4F">
      <w:pPr>
        <w:pStyle w:val="Ttulo1"/>
        <w:rPr>
          <w:lang w:val="es-ES_tradnl"/>
        </w:rPr>
      </w:pPr>
      <w:r w:rsidRPr="0066378A">
        <w:rPr>
          <w:lang w:val="es-ES_tradnl"/>
        </w:rPr>
        <w:t>modernizar la oferta de formación profesional en el medio rural y adaptarla a los requisitos de la competencia mundial y a las necesidades de las empresas locales;</w:t>
      </w:r>
    </w:p>
    <w:p w:rsidR="00ED3BAD" w:rsidRPr="0066378A" w:rsidRDefault="00ED3BAD" w:rsidP="00B954B3">
      <w:pPr>
        <w:rPr>
          <w:lang w:val="es-ES_tradnl"/>
        </w:rPr>
      </w:pPr>
    </w:p>
    <w:p w:rsidR="003C2E3C" w:rsidRPr="0066378A" w:rsidRDefault="003C2E3C" w:rsidP="00ED3BAD">
      <w:pPr>
        <w:pStyle w:val="Ttulo1"/>
        <w:rPr>
          <w:lang w:val="es-ES_tradnl"/>
        </w:rPr>
      </w:pPr>
      <w:r w:rsidRPr="0066378A">
        <w:rPr>
          <w:lang w:val="es-ES_tradnl"/>
        </w:rPr>
        <w:t>contribuir a que una parte de los fondos del FSE se asigne a la educación y la formación profesionales en las zonas rurales, que deben desarrollarse en mayor medida;</w:t>
      </w:r>
    </w:p>
    <w:p w:rsidR="00ED3BAD" w:rsidRPr="0066378A" w:rsidRDefault="00ED3BAD" w:rsidP="00B954B3">
      <w:pPr>
        <w:rPr>
          <w:lang w:val="es-ES_tradnl"/>
        </w:rPr>
      </w:pPr>
    </w:p>
    <w:p w:rsidR="003C5C4F" w:rsidRPr="0066378A" w:rsidRDefault="00ED3BAD" w:rsidP="00ED3BAD">
      <w:pPr>
        <w:pStyle w:val="Ttulo1"/>
        <w:rPr>
          <w:lang w:val="es-ES_tradnl"/>
        </w:rPr>
      </w:pPr>
      <w:r w:rsidRPr="0066378A">
        <w:rPr>
          <w:lang w:val="es-ES_tradnl"/>
        </w:rPr>
        <w:t>instar a la Comisión, los Estados miembros y sus entes territoriales competentes a fomentar la cooperación entre las empresas y las instituciones regionales de educación y formación, favoreciendo también el desarrollo de centros de apoyo a la innovación en agricultura, a partir de algunas experiencias adquiridas por otros Estados miembros;</w:t>
      </w:r>
    </w:p>
    <w:p w:rsidR="00ED3BAD" w:rsidRPr="0066378A" w:rsidRDefault="00ED3BAD">
      <w:pPr>
        <w:rPr>
          <w:lang w:val="es-ES_tradnl"/>
        </w:rPr>
      </w:pPr>
    </w:p>
    <w:p w:rsidR="00941022" w:rsidRPr="0066378A" w:rsidRDefault="00941022" w:rsidP="00ED3BAD">
      <w:pPr>
        <w:pStyle w:val="Ttulo1"/>
        <w:rPr>
          <w:lang w:val="es-ES_tradnl"/>
        </w:rPr>
      </w:pPr>
      <w:r w:rsidRPr="0066378A">
        <w:rPr>
          <w:lang w:val="es-ES_tradnl"/>
        </w:rPr>
        <w:t>reiterar su llamamiento en favor de la necesidad de educar a la sociedad en su conjunto sobre la importancia de conservar las zonas rurales para la población en general</w:t>
      </w:r>
      <w:r w:rsidRPr="0066378A">
        <w:rPr>
          <w:rStyle w:val="Refdenotaalpie"/>
          <w:lang w:val="es-ES_tradnl"/>
        </w:rPr>
        <w:footnoteReference w:id="2"/>
      </w:r>
      <w:r w:rsidRPr="0066378A">
        <w:rPr>
          <w:lang w:val="es-ES_tradnl"/>
        </w:rPr>
        <w:t>; y, en consecuencia, garantizar la prestación de servicios públicos básicos, como la educación, la sanidad o los servicios sociales, a la población residente en las zonas rurales.</w:t>
      </w:r>
    </w:p>
    <w:p w:rsidR="00ED3BAD" w:rsidRPr="0066378A" w:rsidRDefault="00ED3BAD" w:rsidP="00B954B3">
      <w:pPr>
        <w:rPr>
          <w:lang w:val="es-ES_tradnl"/>
        </w:rPr>
      </w:pPr>
    </w:p>
    <w:p w:rsidR="003C5C4F" w:rsidRPr="0066378A" w:rsidRDefault="003C5C4F" w:rsidP="00ED3BAD">
      <w:pPr>
        <w:pStyle w:val="Ttulo1"/>
        <w:rPr>
          <w:lang w:val="es-ES_tradnl"/>
        </w:rPr>
      </w:pPr>
      <w:r w:rsidRPr="0066378A">
        <w:rPr>
          <w:lang w:val="es-ES_tradnl"/>
        </w:rPr>
        <w:t>elaborar medidas destinadas a fomentar el desarrollo de productos de las pequeñas empresas y afrontar las barreras comerciales, así como fomentar el consumo de proximidad y las cadenas cortas de distribución de los productos agroalimentarios;</w:t>
      </w:r>
    </w:p>
    <w:p w:rsidR="00ED3BAD" w:rsidRPr="0066378A" w:rsidRDefault="00ED3BAD" w:rsidP="00B954B3">
      <w:pPr>
        <w:rPr>
          <w:lang w:val="es-ES_tradnl"/>
        </w:rPr>
      </w:pPr>
    </w:p>
    <w:p w:rsidR="003C5C4F" w:rsidRPr="0066378A" w:rsidRDefault="003C5C4F" w:rsidP="00ED3BAD">
      <w:pPr>
        <w:pStyle w:val="Ttulo1"/>
        <w:rPr>
          <w:lang w:val="es-ES_tradnl"/>
        </w:rPr>
      </w:pPr>
      <w:r w:rsidRPr="0066378A">
        <w:rPr>
          <w:lang w:val="es-ES_tradnl"/>
        </w:rPr>
        <w:t>hacer un llamamiento para, con la ayuda de redes de acceso de nueva generación que fomenten la aplicación de la Agenda Digital Europea 2020, redoblar los esfuerzos con vistas a desarrollar una internet de alta velocidad en las zonas rurales;</w:t>
      </w:r>
    </w:p>
    <w:p w:rsidR="003C5C4F" w:rsidRPr="0066378A" w:rsidRDefault="003C5C4F" w:rsidP="00B954B3">
      <w:pPr>
        <w:rPr>
          <w:lang w:val="es-ES_tradnl"/>
        </w:rPr>
      </w:pPr>
    </w:p>
    <w:p w:rsidR="003C5C4F" w:rsidRPr="0066378A" w:rsidRDefault="003C5C4F">
      <w:pPr>
        <w:pStyle w:val="Ttulo1"/>
        <w:rPr>
          <w:lang w:val="es-ES_tradnl"/>
        </w:rPr>
      </w:pPr>
      <w:r w:rsidRPr="0066378A">
        <w:rPr>
          <w:lang w:val="es-ES_tradnl"/>
        </w:rPr>
        <w:t>poner de relieve que es preciso mejorar los conocimientos básicos de las TIC.</w:t>
      </w:r>
    </w:p>
    <w:p w:rsidR="003C5C4F" w:rsidRPr="0066378A" w:rsidRDefault="003C5C4F">
      <w:pPr>
        <w:rPr>
          <w:lang w:val="es-ES_tradnl"/>
        </w:rPr>
      </w:pPr>
    </w:p>
    <w:p w:rsidR="00B6720F" w:rsidRPr="0066378A" w:rsidRDefault="00F0035E" w:rsidP="00DB5DCA">
      <w:pPr>
        <w:keepNext/>
        <w:suppressAutoHyphens/>
        <w:rPr>
          <w:lang w:val="es-ES_tradnl"/>
        </w:rPr>
      </w:pPr>
      <w:r w:rsidRPr="0066378A">
        <w:rPr>
          <w:lang w:val="es-ES_tradnl"/>
        </w:rPr>
        <w:t>Bruselas, 10 de febrero de 2016</w:t>
      </w:r>
      <w:r w:rsidR="00B402E2" w:rsidRPr="0066378A">
        <w:rPr>
          <w:lang w:val="es-ES_tradnl"/>
        </w:rPr>
        <w:t>.</w:t>
      </w:r>
    </w:p>
    <w:p w:rsidR="00C922B0" w:rsidRPr="0066378A" w:rsidRDefault="00C922B0" w:rsidP="00DB5DCA">
      <w:pPr>
        <w:keepNext/>
        <w:suppressAutoHyphens/>
        <w:rPr>
          <w:lang w:val="es-ES_tradnl"/>
        </w:rPr>
      </w:pPr>
    </w:p>
    <w:p w:rsidR="00C922B0" w:rsidRPr="0066378A" w:rsidRDefault="00C922B0" w:rsidP="00DB5DCA">
      <w:pPr>
        <w:keepNext/>
        <w:rPr>
          <w:lang w:val="es-ES_tradnl"/>
        </w:rPr>
      </w:pPr>
    </w:p>
    <w:tbl>
      <w:tblPr>
        <w:tblW w:w="0" w:type="auto"/>
        <w:tblLayout w:type="fixed"/>
        <w:tblLook w:val="0000" w:firstRow="0" w:lastRow="0" w:firstColumn="0" w:lastColumn="0" w:noHBand="0" w:noVBand="0"/>
      </w:tblPr>
      <w:tblGrid>
        <w:gridCol w:w="4621"/>
        <w:gridCol w:w="4622"/>
      </w:tblGrid>
      <w:tr w:rsidR="00C922B0" w:rsidRPr="0066378A" w:rsidTr="00BD482D">
        <w:tc>
          <w:tcPr>
            <w:tcW w:w="4621" w:type="dxa"/>
          </w:tcPr>
          <w:p w:rsidR="00C922B0" w:rsidRPr="0066378A" w:rsidRDefault="00C922B0" w:rsidP="00DB5DCA">
            <w:pPr>
              <w:keepNext/>
              <w:keepLines/>
              <w:jc w:val="center"/>
              <w:rPr>
                <w:lang w:val="es-ES_tradnl"/>
              </w:rPr>
            </w:pPr>
            <w:r w:rsidRPr="0066378A">
              <w:rPr>
                <w:lang w:val="es-ES_tradnl"/>
              </w:rPr>
              <w:t xml:space="preserve">El Presidente </w:t>
            </w:r>
            <w:r w:rsidRPr="0066378A">
              <w:rPr>
                <w:lang w:val="es-ES_tradnl"/>
              </w:rPr>
              <w:br/>
              <w:t xml:space="preserve">del Comité Europeo de las Regiones </w:t>
            </w:r>
            <w:r w:rsidRPr="0066378A">
              <w:rPr>
                <w:lang w:val="es-ES_tradnl"/>
              </w:rPr>
              <w:br/>
              <w:t xml:space="preserve"> </w:t>
            </w:r>
            <w:r w:rsidRPr="0066378A">
              <w:rPr>
                <w:lang w:val="es-ES_tradnl"/>
              </w:rPr>
              <w:br/>
              <w:t xml:space="preserve"> </w:t>
            </w:r>
            <w:r w:rsidRPr="0066378A">
              <w:rPr>
                <w:lang w:val="es-ES_tradnl"/>
              </w:rPr>
              <w:br/>
              <w:t xml:space="preserve"> </w:t>
            </w:r>
            <w:r w:rsidRPr="0066378A">
              <w:rPr>
                <w:lang w:val="es-ES_tradnl"/>
              </w:rPr>
              <w:br/>
              <w:t xml:space="preserve"> </w:t>
            </w:r>
            <w:r w:rsidRPr="0066378A">
              <w:rPr>
                <w:lang w:val="es-ES_tradnl"/>
              </w:rPr>
              <w:br/>
              <w:t xml:space="preserve">Markku </w:t>
            </w:r>
            <w:r w:rsidR="00B402E2" w:rsidRPr="0066378A">
              <w:rPr>
                <w:lang w:val="es-ES_tradnl"/>
              </w:rPr>
              <w:t>MARKKULA</w:t>
            </w:r>
          </w:p>
        </w:tc>
        <w:tc>
          <w:tcPr>
            <w:tcW w:w="4622" w:type="dxa"/>
          </w:tcPr>
          <w:p w:rsidR="00C922B0" w:rsidRPr="0066378A" w:rsidRDefault="00C922B0" w:rsidP="00DB5DCA">
            <w:pPr>
              <w:keepNext/>
              <w:keepLines/>
              <w:jc w:val="center"/>
              <w:rPr>
                <w:lang w:val="es-ES_tradnl"/>
              </w:rPr>
            </w:pPr>
          </w:p>
        </w:tc>
      </w:tr>
      <w:tr w:rsidR="00C922B0" w:rsidRPr="0066378A" w:rsidTr="00BD482D">
        <w:tc>
          <w:tcPr>
            <w:tcW w:w="4621" w:type="dxa"/>
          </w:tcPr>
          <w:p w:rsidR="00C922B0" w:rsidRPr="0066378A" w:rsidRDefault="00C922B0" w:rsidP="00DB5DCA">
            <w:pPr>
              <w:keepNext/>
              <w:keepLines/>
              <w:jc w:val="center"/>
              <w:rPr>
                <w:lang w:val="es-ES_tradnl"/>
              </w:rPr>
            </w:pPr>
          </w:p>
        </w:tc>
        <w:tc>
          <w:tcPr>
            <w:tcW w:w="4622" w:type="dxa"/>
          </w:tcPr>
          <w:p w:rsidR="00C922B0" w:rsidRPr="0066378A" w:rsidRDefault="00C922B0" w:rsidP="00DB5DCA">
            <w:pPr>
              <w:keepNext/>
              <w:keepLines/>
              <w:jc w:val="center"/>
              <w:rPr>
                <w:lang w:val="es-ES_tradnl"/>
              </w:rPr>
            </w:pPr>
            <w:r w:rsidRPr="0066378A">
              <w:rPr>
                <w:lang w:val="es-ES_tradnl"/>
              </w:rPr>
              <w:t xml:space="preserve">El Secretario General </w:t>
            </w:r>
            <w:r w:rsidRPr="0066378A">
              <w:rPr>
                <w:lang w:val="es-ES_tradnl"/>
              </w:rPr>
              <w:br/>
              <w:t xml:space="preserve">del Comité Europeo de las Regiones </w:t>
            </w:r>
            <w:r w:rsidRPr="0066378A">
              <w:rPr>
                <w:lang w:val="es-ES_tradnl"/>
              </w:rPr>
              <w:br/>
              <w:t xml:space="preserve"> </w:t>
            </w:r>
            <w:r w:rsidRPr="0066378A">
              <w:rPr>
                <w:lang w:val="es-ES_tradnl"/>
              </w:rPr>
              <w:br/>
              <w:t xml:space="preserve"> </w:t>
            </w:r>
            <w:r w:rsidRPr="0066378A">
              <w:rPr>
                <w:lang w:val="es-ES_tradnl"/>
              </w:rPr>
              <w:br/>
              <w:t xml:space="preserve"> </w:t>
            </w:r>
            <w:r w:rsidRPr="0066378A">
              <w:rPr>
                <w:lang w:val="es-ES_tradnl"/>
              </w:rPr>
              <w:br/>
              <w:t xml:space="preserve"> </w:t>
            </w:r>
            <w:r w:rsidRPr="0066378A">
              <w:rPr>
                <w:lang w:val="es-ES_tradnl"/>
              </w:rPr>
              <w:br/>
              <w:t xml:space="preserve">Jiří </w:t>
            </w:r>
            <w:r w:rsidR="00B402E2" w:rsidRPr="0066378A">
              <w:rPr>
                <w:lang w:val="es-ES_tradnl"/>
              </w:rPr>
              <w:t>BURIÁNEK</w:t>
            </w:r>
          </w:p>
        </w:tc>
      </w:tr>
    </w:tbl>
    <w:p w:rsidR="00F0035E" w:rsidRPr="0066378A" w:rsidRDefault="002B1484" w:rsidP="00B954B3">
      <w:pPr>
        <w:numPr>
          <w:ilvl w:val="0"/>
          <w:numId w:val="1"/>
        </w:numPr>
        <w:ind w:left="567" w:hanging="567"/>
        <w:jc w:val="left"/>
        <w:rPr>
          <w:b/>
          <w:bCs/>
          <w:lang w:val="es-ES_tradnl"/>
        </w:rPr>
      </w:pPr>
      <w:r w:rsidRPr="0066378A">
        <w:rPr>
          <w:lang w:val="es-ES_tradnl"/>
        </w:rPr>
        <w:br w:type="page"/>
      </w:r>
      <w:r w:rsidRPr="0066378A">
        <w:rPr>
          <w:b/>
          <w:lang w:val="es-ES_tradnl"/>
        </w:rPr>
        <w:t>PROCEDIMIENTO</w:t>
      </w:r>
    </w:p>
    <w:p w:rsidR="00B6720F" w:rsidRPr="0066378A" w:rsidRDefault="00B6720F">
      <w:pPr>
        <w:suppressAutoHyphens/>
        <w:rPr>
          <w:lang w:val="es-ES_tradnl"/>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5390"/>
      </w:tblGrid>
      <w:tr w:rsidR="00295413" w:rsidRPr="0066378A">
        <w:tc>
          <w:tcPr>
            <w:tcW w:w="3848" w:type="dxa"/>
            <w:noWrap/>
          </w:tcPr>
          <w:p w:rsidR="00B6720F" w:rsidRPr="0066378A" w:rsidRDefault="00B6720F">
            <w:pPr>
              <w:suppressAutoHyphens/>
              <w:rPr>
                <w:b/>
                <w:lang w:val="es-ES_tradnl"/>
              </w:rPr>
            </w:pPr>
            <w:r w:rsidRPr="0066378A">
              <w:rPr>
                <w:b/>
                <w:lang w:val="es-ES_tradnl"/>
              </w:rPr>
              <w:t>Título</w:t>
            </w:r>
          </w:p>
          <w:p w:rsidR="00B6720F" w:rsidRPr="0066378A" w:rsidRDefault="00B6720F">
            <w:pPr>
              <w:suppressAutoHyphens/>
              <w:rPr>
                <w:kern w:val="1"/>
                <w:lang w:val="es-ES_tradnl"/>
              </w:rPr>
            </w:pPr>
          </w:p>
        </w:tc>
        <w:tc>
          <w:tcPr>
            <w:tcW w:w="5390" w:type="dxa"/>
            <w:noWrap/>
          </w:tcPr>
          <w:p w:rsidR="00B6720F" w:rsidRPr="0066378A" w:rsidRDefault="00F94FD2">
            <w:pPr>
              <w:suppressAutoHyphens/>
              <w:rPr>
                <w:kern w:val="1"/>
                <w:lang w:val="es-ES_tradnl"/>
              </w:rPr>
            </w:pPr>
            <w:r w:rsidRPr="0066378A">
              <w:rPr>
                <w:lang w:val="es-ES_tradnl"/>
              </w:rPr>
              <w:t>Innovación y modernización de la economía rural</w:t>
            </w:r>
          </w:p>
        </w:tc>
      </w:tr>
      <w:tr w:rsidR="00295413" w:rsidRPr="0066378A">
        <w:tc>
          <w:tcPr>
            <w:tcW w:w="3848" w:type="dxa"/>
            <w:noWrap/>
          </w:tcPr>
          <w:p w:rsidR="00B6720F" w:rsidRPr="0066378A" w:rsidRDefault="00B6720F">
            <w:pPr>
              <w:suppressAutoHyphens/>
              <w:rPr>
                <w:b/>
                <w:bCs/>
                <w:kern w:val="1"/>
                <w:lang w:val="es-ES_tradnl"/>
              </w:rPr>
            </w:pPr>
            <w:r w:rsidRPr="0066378A">
              <w:rPr>
                <w:b/>
                <w:lang w:val="es-ES_tradnl"/>
              </w:rPr>
              <w:t>Referencia</w:t>
            </w:r>
          </w:p>
        </w:tc>
        <w:tc>
          <w:tcPr>
            <w:tcW w:w="5390" w:type="dxa"/>
            <w:noWrap/>
          </w:tcPr>
          <w:p w:rsidR="00B6720F" w:rsidRPr="0066378A" w:rsidRDefault="00B6720F">
            <w:pPr>
              <w:suppressAutoHyphens/>
              <w:rPr>
                <w:kern w:val="1"/>
                <w:lang w:val="es-ES_tradnl"/>
              </w:rPr>
            </w:pPr>
          </w:p>
        </w:tc>
      </w:tr>
      <w:tr w:rsidR="00295413" w:rsidRPr="0066378A">
        <w:tc>
          <w:tcPr>
            <w:tcW w:w="3848" w:type="dxa"/>
            <w:noWrap/>
          </w:tcPr>
          <w:p w:rsidR="00B6720F" w:rsidRPr="0066378A" w:rsidRDefault="00B6720F">
            <w:pPr>
              <w:suppressAutoHyphens/>
              <w:rPr>
                <w:b/>
                <w:bCs/>
                <w:kern w:val="1"/>
                <w:lang w:val="es-ES_tradnl"/>
              </w:rPr>
            </w:pPr>
            <w:r w:rsidRPr="0066378A">
              <w:rPr>
                <w:b/>
                <w:lang w:val="es-ES_tradnl"/>
              </w:rPr>
              <w:t>Fundamento jurídico</w:t>
            </w:r>
          </w:p>
        </w:tc>
        <w:tc>
          <w:tcPr>
            <w:tcW w:w="5390" w:type="dxa"/>
            <w:noWrap/>
          </w:tcPr>
          <w:p w:rsidR="00B6720F" w:rsidRPr="0066378A" w:rsidRDefault="00B6720F">
            <w:pPr>
              <w:suppressAutoHyphens/>
              <w:rPr>
                <w:kern w:val="1"/>
                <w:lang w:val="es-ES_tradnl"/>
              </w:rPr>
            </w:pPr>
            <w:r w:rsidRPr="0066378A">
              <w:rPr>
                <w:lang w:val="es-ES_tradnl"/>
              </w:rPr>
              <w:t>Artículo 307, apartado 4, del TFUE</w:t>
            </w:r>
          </w:p>
        </w:tc>
      </w:tr>
      <w:tr w:rsidR="00295413" w:rsidRPr="0066378A">
        <w:tc>
          <w:tcPr>
            <w:tcW w:w="3848" w:type="dxa"/>
            <w:noWrap/>
          </w:tcPr>
          <w:p w:rsidR="00B6720F" w:rsidRPr="0066378A" w:rsidRDefault="00B6720F">
            <w:pPr>
              <w:suppressAutoHyphens/>
              <w:rPr>
                <w:b/>
                <w:bCs/>
                <w:kern w:val="1"/>
                <w:lang w:val="es-ES_tradnl"/>
              </w:rPr>
            </w:pPr>
            <w:r w:rsidRPr="0066378A">
              <w:rPr>
                <w:b/>
                <w:lang w:val="es-ES_tradnl"/>
              </w:rPr>
              <w:t>Procedimiento reglamentario</w:t>
            </w:r>
          </w:p>
        </w:tc>
        <w:tc>
          <w:tcPr>
            <w:tcW w:w="5390" w:type="dxa"/>
            <w:noWrap/>
          </w:tcPr>
          <w:p w:rsidR="00B6720F" w:rsidRPr="0066378A" w:rsidRDefault="00B6720F">
            <w:pPr>
              <w:suppressAutoHyphens/>
              <w:rPr>
                <w:kern w:val="1"/>
                <w:lang w:val="es-ES_tradnl"/>
              </w:rPr>
            </w:pPr>
            <w:r w:rsidRPr="0066378A">
              <w:rPr>
                <w:lang w:val="es-ES_tradnl"/>
              </w:rPr>
              <w:t>Dictamen de iniciativa</w:t>
            </w:r>
          </w:p>
        </w:tc>
      </w:tr>
      <w:tr w:rsidR="00295413" w:rsidRPr="0066378A">
        <w:tc>
          <w:tcPr>
            <w:tcW w:w="3848" w:type="dxa"/>
          </w:tcPr>
          <w:p w:rsidR="00B6720F" w:rsidRPr="0066378A" w:rsidRDefault="00B6720F">
            <w:pPr>
              <w:suppressAutoHyphens/>
              <w:rPr>
                <w:kern w:val="1"/>
                <w:lang w:val="es-ES_tradnl"/>
              </w:rPr>
            </w:pPr>
            <w:r w:rsidRPr="0066378A">
              <w:rPr>
                <w:b/>
                <w:lang w:val="es-ES_tradnl"/>
              </w:rPr>
              <w:t>Fecha de la consulta del Consejo / del Parlamento Europeo / Fecha de la carta de la Comisión</w:t>
            </w:r>
          </w:p>
        </w:tc>
        <w:tc>
          <w:tcPr>
            <w:tcW w:w="5390" w:type="dxa"/>
            <w:noWrap/>
          </w:tcPr>
          <w:p w:rsidR="00B6720F" w:rsidRPr="0066378A" w:rsidRDefault="00B6720F">
            <w:pPr>
              <w:suppressAutoHyphens/>
              <w:rPr>
                <w:kern w:val="1"/>
                <w:lang w:val="es-ES_tradnl"/>
              </w:rPr>
            </w:pPr>
            <w:r w:rsidRPr="0066378A">
              <w:rPr>
                <w:lang w:val="es-ES_tradnl"/>
              </w:rPr>
              <w:t>–</w:t>
            </w:r>
          </w:p>
        </w:tc>
      </w:tr>
      <w:tr w:rsidR="00295413" w:rsidRPr="0066378A">
        <w:tc>
          <w:tcPr>
            <w:tcW w:w="3848" w:type="dxa"/>
          </w:tcPr>
          <w:p w:rsidR="00B6720F" w:rsidRPr="0066378A" w:rsidRDefault="00B6720F">
            <w:pPr>
              <w:suppressAutoHyphens/>
              <w:rPr>
                <w:kern w:val="1"/>
                <w:lang w:val="es-ES_tradnl"/>
              </w:rPr>
            </w:pPr>
            <w:r w:rsidRPr="0066378A">
              <w:rPr>
                <w:b/>
                <w:lang w:val="es-ES_tradnl"/>
              </w:rPr>
              <w:t>Fecha de la decisión de la Mesa</w:t>
            </w:r>
          </w:p>
        </w:tc>
        <w:tc>
          <w:tcPr>
            <w:tcW w:w="5390" w:type="dxa"/>
            <w:noWrap/>
          </w:tcPr>
          <w:p w:rsidR="00B6720F" w:rsidRPr="0066378A" w:rsidRDefault="00F94FD2">
            <w:pPr>
              <w:suppressAutoHyphens/>
              <w:rPr>
                <w:kern w:val="1"/>
                <w:lang w:val="es-ES_tradnl"/>
              </w:rPr>
            </w:pPr>
            <w:r w:rsidRPr="0066378A">
              <w:rPr>
                <w:lang w:val="es-ES_tradnl"/>
              </w:rPr>
              <w:t>2 de junio de 2015</w:t>
            </w:r>
          </w:p>
        </w:tc>
      </w:tr>
      <w:tr w:rsidR="00295413" w:rsidRPr="0066378A">
        <w:tc>
          <w:tcPr>
            <w:tcW w:w="3848" w:type="dxa"/>
            <w:noWrap/>
          </w:tcPr>
          <w:p w:rsidR="00B6720F" w:rsidRPr="0066378A" w:rsidRDefault="00B6720F">
            <w:pPr>
              <w:suppressAutoHyphens/>
              <w:rPr>
                <w:b/>
                <w:bCs/>
                <w:kern w:val="1"/>
                <w:lang w:val="es-ES_tradnl"/>
              </w:rPr>
            </w:pPr>
            <w:r w:rsidRPr="0066378A">
              <w:rPr>
                <w:b/>
                <w:lang w:val="es-ES_tradnl"/>
              </w:rPr>
              <w:t>Comisión competente</w:t>
            </w:r>
          </w:p>
        </w:tc>
        <w:tc>
          <w:tcPr>
            <w:tcW w:w="5390" w:type="dxa"/>
            <w:noWrap/>
          </w:tcPr>
          <w:p w:rsidR="00B6720F" w:rsidRPr="0066378A" w:rsidRDefault="00B6720F">
            <w:pPr>
              <w:suppressAutoHyphens/>
              <w:rPr>
                <w:kern w:val="1"/>
                <w:lang w:val="es-ES_tradnl"/>
              </w:rPr>
            </w:pPr>
            <w:r w:rsidRPr="0066378A">
              <w:rPr>
                <w:lang w:val="es-ES_tradnl"/>
              </w:rPr>
              <w:t>Comisión de Recursos Naturales</w:t>
            </w:r>
          </w:p>
        </w:tc>
      </w:tr>
      <w:tr w:rsidR="00295413" w:rsidRPr="0066378A">
        <w:tc>
          <w:tcPr>
            <w:tcW w:w="3848" w:type="dxa"/>
            <w:noWrap/>
          </w:tcPr>
          <w:p w:rsidR="00B6720F" w:rsidRPr="0066378A" w:rsidRDefault="00B6720F">
            <w:pPr>
              <w:suppressAutoHyphens/>
              <w:rPr>
                <w:b/>
                <w:bCs/>
                <w:kern w:val="1"/>
                <w:lang w:val="es-ES_tradnl"/>
              </w:rPr>
            </w:pPr>
            <w:r w:rsidRPr="0066378A">
              <w:rPr>
                <w:b/>
                <w:lang w:val="es-ES_tradnl"/>
              </w:rPr>
              <w:t>Ponente</w:t>
            </w:r>
          </w:p>
        </w:tc>
        <w:tc>
          <w:tcPr>
            <w:tcW w:w="5390" w:type="dxa"/>
            <w:noWrap/>
          </w:tcPr>
          <w:p w:rsidR="00B6720F" w:rsidRPr="0066378A" w:rsidRDefault="001F3A95">
            <w:pPr>
              <w:suppressAutoHyphens/>
              <w:rPr>
                <w:kern w:val="1"/>
                <w:lang w:val="es-ES_tradnl"/>
              </w:rPr>
            </w:pPr>
            <w:r w:rsidRPr="0066378A">
              <w:rPr>
                <w:lang w:val="es-ES_tradnl"/>
              </w:rPr>
              <w:t>Ponente: Randel Länts (EE/PSE), concejal del Ayuntamiento de Viljandi</w:t>
            </w:r>
          </w:p>
        </w:tc>
      </w:tr>
      <w:tr w:rsidR="00295413" w:rsidRPr="0066378A">
        <w:tc>
          <w:tcPr>
            <w:tcW w:w="3848" w:type="dxa"/>
            <w:noWrap/>
          </w:tcPr>
          <w:p w:rsidR="00B6720F" w:rsidRPr="0066378A" w:rsidRDefault="00B6720F">
            <w:pPr>
              <w:suppressAutoHyphens/>
              <w:rPr>
                <w:b/>
                <w:bCs/>
                <w:kern w:val="1"/>
                <w:lang w:val="es-ES_tradnl"/>
              </w:rPr>
            </w:pPr>
            <w:r w:rsidRPr="0066378A">
              <w:rPr>
                <w:b/>
                <w:lang w:val="es-ES_tradnl"/>
              </w:rPr>
              <w:t>Nota de análisis</w:t>
            </w:r>
          </w:p>
        </w:tc>
        <w:tc>
          <w:tcPr>
            <w:tcW w:w="5390" w:type="dxa"/>
            <w:noWrap/>
          </w:tcPr>
          <w:p w:rsidR="00B6720F" w:rsidRPr="0066378A" w:rsidRDefault="00B6720F">
            <w:pPr>
              <w:suppressAutoHyphens/>
              <w:rPr>
                <w:kern w:val="1"/>
                <w:lang w:val="es-ES_tradnl"/>
              </w:rPr>
            </w:pPr>
            <w:r w:rsidRPr="0066378A">
              <w:rPr>
                <w:lang w:val="es-ES_tradnl"/>
              </w:rPr>
              <w:t>Julio de 2015</w:t>
            </w:r>
          </w:p>
        </w:tc>
      </w:tr>
      <w:tr w:rsidR="00295413" w:rsidRPr="0066378A">
        <w:tc>
          <w:tcPr>
            <w:tcW w:w="3848" w:type="dxa"/>
            <w:noWrap/>
          </w:tcPr>
          <w:p w:rsidR="00B6720F" w:rsidRPr="0066378A" w:rsidRDefault="00B6720F">
            <w:pPr>
              <w:suppressAutoHyphens/>
              <w:rPr>
                <w:b/>
                <w:bCs/>
                <w:kern w:val="1"/>
                <w:lang w:val="es-ES_tradnl"/>
              </w:rPr>
            </w:pPr>
            <w:r w:rsidRPr="0066378A">
              <w:rPr>
                <w:b/>
                <w:lang w:val="es-ES_tradnl"/>
              </w:rPr>
              <w:t>Examen en comisión</w:t>
            </w:r>
          </w:p>
        </w:tc>
        <w:tc>
          <w:tcPr>
            <w:tcW w:w="5390" w:type="dxa"/>
            <w:noWrap/>
          </w:tcPr>
          <w:p w:rsidR="00B6720F" w:rsidRPr="0066378A" w:rsidRDefault="00B6720F">
            <w:pPr>
              <w:suppressAutoHyphens/>
              <w:rPr>
                <w:kern w:val="1"/>
                <w:lang w:val="es-ES_tradnl"/>
              </w:rPr>
            </w:pPr>
            <w:r w:rsidRPr="0066378A">
              <w:rPr>
                <w:lang w:val="es-ES_tradnl"/>
              </w:rPr>
              <w:t>21 de septiembre de 2015</w:t>
            </w:r>
          </w:p>
        </w:tc>
      </w:tr>
      <w:tr w:rsidR="00295413" w:rsidRPr="0066378A">
        <w:tc>
          <w:tcPr>
            <w:tcW w:w="3848" w:type="dxa"/>
            <w:noWrap/>
          </w:tcPr>
          <w:p w:rsidR="00B6720F" w:rsidRPr="0066378A" w:rsidRDefault="00B6720F">
            <w:pPr>
              <w:suppressAutoHyphens/>
              <w:rPr>
                <w:b/>
                <w:bCs/>
                <w:kern w:val="1"/>
                <w:lang w:val="es-ES_tradnl"/>
              </w:rPr>
            </w:pPr>
            <w:r w:rsidRPr="0066378A">
              <w:rPr>
                <w:b/>
                <w:lang w:val="es-ES_tradnl"/>
              </w:rPr>
              <w:t>Fecha de la aprobación en comisión</w:t>
            </w:r>
          </w:p>
        </w:tc>
        <w:tc>
          <w:tcPr>
            <w:tcW w:w="5390" w:type="dxa"/>
            <w:noWrap/>
          </w:tcPr>
          <w:p w:rsidR="00B6720F" w:rsidRPr="0066378A" w:rsidRDefault="00B6720F">
            <w:pPr>
              <w:suppressAutoHyphens/>
              <w:rPr>
                <w:kern w:val="1"/>
                <w:lang w:val="es-ES_tradnl"/>
              </w:rPr>
            </w:pPr>
            <w:r w:rsidRPr="0066378A">
              <w:rPr>
                <w:lang w:val="es-ES_tradnl"/>
              </w:rPr>
              <w:t>24 de noviembre de 2015</w:t>
            </w:r>
          </w:p>
        </w:tc>
      </w:tr>
      <w:tr w:rsidR="00295413" w:rsidRPr="0066378A">
        <w:tc>
          <w:tcPr>
            <w:tcW w:w="3848" w:type="dxa"/>
            <w:noWrap/>
          </w:tcPr>
          <w:p w:rsidR="00B6720F" w:rsidRPr="0066378A" w:rsidRDefault="00B6720F">
            <w:pPr>
              <w:suppressAutoHyphens/>
              <w:rPr>
                <w:b/>
                <w:lang w:val="es-ES_tradnl"/>
              </w:rPr>
            </w:pPr>
            <w:r w:rsidRPr="0066378A">
              <w:rPr>
                <w:b/>
                <w:lang w:val="es-ES_tradnl"/>
              </w:rPr>
              <w:t>Resultado de la votación en comisión</w:t>
            </w:r>
          </w:p>
          <w:p w:rsidR="00B6720F" w:rsidRPr="0066378A" w:rsidRDefault="00B6720F">
            <w:pPr>
              <w:suppressAutoHyphens/>
              <w:rPr>
                <w:b/>
                <w:bCs/>
                <w:kern w:val="1"/>
                <w:lang w:val="es-ES_tradnl"/>
              </w:rPr>
            </w:pPr>
            <w:r w:rsidRPr="0066378A">
              <w:rPr>
                <w:b/>
                <w:lang w:val="es-ES_tradnl"/>
              </w:rPr>
              <w:t>(mayoría/ unanimidad)</w:t>
            </w:r>
          </w:p>
        </w:tc>
        <w:tc>
          <w:tcPr>
            <w:tcW w:w="5390" w:type="dxa"/>
            <w:noWrap/>
          </w:tcPr>
          <w:p w:rsidR="00B6720F" w:rsidRPr="0066378A" w:rsidRDefault="00941022">
            <w:pPr>
              <w:suppressAutoHyphens/>
              <w:rPr>
                <w:kern w:val="1"/>
                <w:lang w:val="es-ES_tradnl"/>
              </w:rPr>
            </w:pPr>
            <w:r w:rsidRPr="0066378A">
              <w:rPr>
                <w:lang w:val="es-ES_tradnl"/>
              </w:rPr>
              <w:t>Aprobado por mayoría</w:t>
            </w:r>
          </w:p>
        </w:tc>
      </w:tr>
      <w:tr w:rsidR="00295413" w:rsidRPr="0066378A">
        <w:tc>
          <w:tcPr>
            <w:tcW w:w="3848" w:type="dxa"/>
            <w:noWrap/>
          </w:tcPr>
          <w:p w:rsidR="00B6720F" w:rsidRPr="0066378A" w:rsidRDefault="00B6720F">
            <w:pPr>
              <w:suppressAutoHyphens/>
              <w:rPr>
                <w:b/>
                <w:bCs/>
                <w:kern w:val="1"/>
                <w:lang w:val="es-ES_tradnl"/>
              </w:rPr>
            </w:pPr>
            <w:r w:rsidRPr="0066378A">
              <w:rPr>
                <w:b/>
                <w:lang w:val="es-ES_tradnl"/>
              </w:rPr>
              <w:t>Fecha de la aprobación en el pleno</w:t>
            </w:r>
          </w:p>
        </w:tc>
        <w:tc>
          <w:tcPr>
            <w:tcW w:w="5390" w:type="dxa"/>
            <w:noWrap/>
          </w:tcPr>
          <w:p w:rsidR="00B6720F" w:rsidRPr="0066378A" w:rsidRDefault="00B6720F" w:rsidP="009A3C1E">
            <w:pPr>
              <w:suppressAutoHyphens/>
              <w:rPr>
                <w:kern w:val="1"/>
                <w:lang w:val="es-ES_tradnl"/>
              </w:rPr>
            </w:pPr>
            <w:r w:rsidRPr="0066378A">
              <w:rPr>
                <w:lang w:val="es-ES_tradnl"/>
              </w:rPr>
              <w:t>10 de febrero de 2016</w:t>
            </w:r>
          </w:p>
        </w:tc>
      </w:tr>
      <w:tr w:rsidR="00295413" w:rsidRPr="0066378A">
        <w:tc>
          <w:tcPr>
            <w:tcW w:w="3848" w:type="dxa"/>
            <w:noWrap/>
          </w:tcPr>
          <w:p w:rsidR="00B6720F" w:rsidRPr="0066378A" w:rsidRDefault="00B6720F">
            <w:pPr>
              <w:suppressAutoHyphens/>
              <w:rPr>
                <w:b/>
                <w:bCs/>
                <w:kern w:val="1"/>
                <w:lang w:val="es-ES_tradnl"/>
              </w:rPr>
            </w:pPr>
            <w:r w:rsidRPr="0066378A">
              <w:rPr>
                <w:b/>
                <w:lang w:val="es-ES_tradnl"/>
              </w:rPr>
              <w:t>Dictámenes anteriores del Comité</w:t>
            </w:r>
          </w:p>
        </w:tc>
        <w:tc>
          <w:tcPr>
            <w:tcW w:w="5390" w:type="dxa"/>
            <w:noWrap/>
          </w:tcPr>
          <w:p w:rsidR="00B6720F" w:rsidRPr="0066378A" w:rsidRDefault="00C754C1">
            <w:pPr>
              <w:suppressAutoHyphens/>
              <w:rPr>
                <w:kern w:val="1"/>
                <w:lang w:val="es-ES_tradnl"/>
              </w:rPr>
            </w:pPr>
            <w:r w:rsidRPr="0066378A">
              <w:rPr>
                <w:lang w:val="es-ES_tradnl"/>
              </w:rPr>
              <w:t>CDR 65/2012 fin – Dictamen «Propuestas legislativas sobre la reforma de la política agrícola común y de desarrollo rural después de 2013»</w:t>
            </w:r>
            <w:r w:rsidRPr="0066378A">
              <w:rPr>
                <w:rStyle w:val="Refdenotaalpie"/>
                <w:kern w:val="1"/>
                <w:lang w:val="es-ES_tradnl"/>
              </w:rPr>
              <w:footnoteReference w:id="3"/>
            </w:r>
          </w:p>
          <w:p w:rsidR="00C45544" w:rsidRPr="0066378A" w:rsidRDefault="00C45544">
            <w:pPr>
              <w:suppressAutoHyphens/>
              <w:rPr>
                <w:kern w:val="1"/>
                <w:lang w:val="es-ES_tradnl"/>
              </w:rPr>
            </w:pPr>
            <w:r w:rsidRPr="0066378A">
              <w:rPr>
                <w:lang w:val="es-ES_tradnl"/>
              </w:rPr>
              <w:t>CDR 1684/2012 fin — Dictamen «El desarrollo local participativo»</w:t>
            </w:r>
            <w:r w:rsidRPr="0066378A">
              <w:rPr>
                <w:rStyle w:val="Refdenotaalpie"/>
                <w:kern w:val="1"/>
                <w:lang w:val="es-ES_tradnl"/>
              </w:rPr>
              <w:footnoteReference w:id="4"/>
            </w:r>
          </w:p>
          <w:p w:rsidR="00C45544" w:rsidRPr="0066378A" w:rsidRDefault="00C45544">
            <w:pPr>
              <w:suppressAutoHyphens/>
              <w:rPr>
                <w:kern w:val="1"/>
                <w:lang w:val="es-ES_tradnl"/>
              </w:rPr>
            </w:pPr>
            <w:r w:rsidRPr="0066378A">
              <w:rPr>
                <w:lang w:val="es-ES_tradnl"/>
              </w:rPr>
              <w:t>CDR 1749/2012 fin — Dictamen «Cooperación de innovación europea: productividad y sostenibilidad agrícolas»</w:t>
            </w:r>
            <w:r w:rsidRPr="0066378A">
              <w:rPr>
                <w:rStyle w:val="Refdenotaalpie"/>
                <w:kern w:val="1"/>
                <w:lang w:val="es-ES_tradnl"/>
              </w:rPr>
              <w:footnoteReference w:id="5"/>
            </w:r>
          </w:p>
          <w:p w:rsidR="00C45544" w:rsidRPr="0066378A" w:rsidRDefault="00C45544">
            <w:pPr>
              <w:suppressAutoHyphens/>
              <w:rPr>
                <w:kern w:val="1"/>
                <w:lang w:val="es-ES_tradnl"/>
              </w:rPr>
            </w:pPr>
            <w:r w:rsidRPr="0066378A">
              <w:rPr>
                <w:lang w:val="es-ES_tradnl"/>
              </w:rPr>
              <w:t>CDR 3765/2013 fin – Dictamen «Desarrollo sostenible de las zonas rurales»</w:t>
            </w:r>
            <w:r w:rsidRPr="0066378A">
              <w:rPr>
                <w:rStyle w:val="Refdenotaalpie"/>
                <w:kern w:val="1"/>
                <w:lang w:val="es-ES_tradnl"/>
              </w:rPr>
              <w:footnoteReference w:id="6"/>
            </w:r>
          </w:p>
        </w:tc>
      </w:tr>
      <w:tr w:rsidR="00295413" w:rsidRPr="0066378A">
        <w:tc>
          <w:tcPr>
            <w:tcW w:w="3848" w:type="dxa"/>
            <w:noWrap/>
          </w:tcPr>
          <w:p w:rsidR="00B6720F" w:rsidRPr="0066378A" w:rsidRDefault="00B6720F">
            <w:pPr>
              <w:suppressAutoHyphens/>
              <w:rPr>
                <w:b/>
                <w:bCs/>
                <w:kern w:val="1"/>
                <w:lang w:val="es-ES_tradnl"/>
              </w:rPr>
            </w:pPr>
            <w:r w:rsidRPr="0066378A">
              <w:rPr>
                <w:b/>
                <w:lang w:val="es-ES_tradnl"/>
              </w:rPr>
              <w:t>Fecha de la consulta a la Red de Seguimiento de la Subsidiariedad</w:t>
            </w:r>
          </w:p>
        </w:tc>
        <w:tc>
          <w:tcPr>
            <w:tcW w:w="5390" w:type="dxa"/>
            <w:noWrap/>
          </w:tcPr>
          <w:p w:rsidR="00B6720F" w:rsidRPr="0066378A" w:rsidRDefault="00B6720F">
            <w:pPr>
              <w:suppressAutoHyphens/>
              <w:rPr>
                <w:kern w:val="1"/>
                <w:lang w:val="es-ES_tradnl"/>
              </w:rPr>
            </w:pPr>
            <w:r w:rsidRPr="0066378A">
              <w:rPr>
                <w:lang w:val="es-ES_tradnl"/>
              </w:rPr>
              <w:t>–</w:t>
            </w:r>
          </w:p>
        </w:tc>
      </w:tr>
    </w:tbl>
    <w:p w:rsidR="00B6720F" w:rsidRPr="0066378A" w:rsidRDefault="00B6720F">
      <w:pPr>
        <w:suppressAutoHyphens/>
        <w:rPr>
          <w:lang w:val="es-ES_tradnl"/>
        </w:rPr>
      </w:pPr>
    </w:p>
    <w:p w:rsidR="00B6720F" w:rsidRPr="0066378A" w:rsidRDefault="00B6720F">
      <w:pPr>
        <w:suppressAutoHyphens/>
        <w:jc w:val="center"/>
        <w:rPr>
          <w:lang w:val="es-ES_tradnl"/>
        </w:rPr>
      </w:pPr>
      <w:r w:rsidRPr="0066378A">
        <w:rPr>
          <w:lang w:val="es-ES_tradnl"/>
        </w:rPr>
        <w:t>_____________</w:t>
      </w:r>
    </w:p>
    <w:p w:rsidR="002F0748" w:rsidRPr="0066378A" w:rsidRDefault="002F0748">
      <w:pPr>
        <w:suppressAutoHyphens/>
        <w:rPr>
          <w:lang w:val="es-ES_tradnl"/>
        </w:rPr>
      </w:pPr>
    </w:p>
    <w:sectPr w:rsidR="002F0748" w:rsidRPr="0066378A" w:rsidSect="000954B0">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9" w:footer="709" w:gutter="0"/>
      <w:cols w:space="720"/>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484" w:rsidRDefault="00CB2484" w:rsidP="00740901">
      <w:pPr>
        <w:spacing w:line="240" w:lineRule="auto"/>
      </w:pPr>
      <w:r>
        <w:separator/>
      </w:r>
    </w:p>
  </w:endnote>
  <w:endnote w:type="continuationSeparator" w:id="0">
    <w:p w:rsidR="00CB2484" w:rsidRDefault="00CB2484" w:rsidP="00740901">
      <w:pPr>
        <w:spacing w:line="240" w:lineRule="auto"/>
      </w:pPr>
      <w:r>
        <w:continuationSeparator/>
      </w:r>
    </w:p>
  </w:endnote>
  <w:endnote w:type="continuationNotice" w:id="1">
    <w:p w:rsidR="00CB2484" w:rsidRDefault="00CB24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B0" w:rsidRPr="000954B0" w:rsidRDefault="000954B0" w:rsidP="000954B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DE" w:rsidRPr="000954B0" w:rsidRDefault="000954B0" w:rsidP="000954B0">
    <w:pPr>
      <w:pStyle w:val="Piedepgina"/>
    </w:pPr>
    <w:r>
      <w:t xml:space="preserve">COR-2015-02799-00-00-AC-TRA (EN) </w:t>
    </w:r>
    <w:r>
      <w:fldChar w:fldCharType="begin"/>
    </w:r>
    <w:r>
      <w:instrText xml:space="preserve"> PAGE  \* Arabic  \* MERGEFORMAT </w:instrText>
    </w:r>
    <w:r>
      <w:fldChar w:fldCharType="separate"/>
    </w:r>
    <w:r w:rsidR="00056B02">
      <w:rPr>
        <w:noProof/>
      </w:rPr>
      <w:t>1</w:t>
    </w:r>
    <w:r>
      <w:fldChar w:fldCharType="end"/>
    </w:r>
    <w:r>
      <w:t>/</w:t>
    </w:r>
    <w:r>
      <w:fldChar w:fldCharType="begin"/>
    </w:r>
    <w:r>
      <w:instrText xml:space="preserve"> = </w:instrText>
    </w:r>
    <w:fldSimple w:instr=" NUMPAGES ">
      <w:r w:rsidR="00056B02">
        <w:rPr>
          <w:noProof/>
        </w:rPr>
        <w:instrText>3</w:instrText>
      </w:r>
    </w:fldSimple>
    <w:r>
      <w:instrText xml:space="preserve"> -0 </w:instrText>
    </w:r>
    <w:r>
      <w:fldChar w:fldCharType="separate"/>
    </w:r>
    <w:r w:rsidR="00056B02">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B0" w:rsidRPr="000954B0" w:rsidRDefault="000954B0" w:rsidP="000954B0">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DE" w:rsidRPr="000954B0" w:rsidRDefault="00B34DDE" w:rsidP="000954B0">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DE" w:rsidRPr="000954B0" w:rsidRDefault="000954B0" w:rsidP="000954B0">
    <w:pPr>
      <w:pStyle w:val="Piedepgina"/>
    </w:pPr>
    <w:r>
      <w:t xml:space="preserve">COR-2015-02799-00-00-AC-TRA (EN) </w:t>
    </w:r>
    <w:r>
      <w:fldChar w:fldCharType="begin"/>
    </w:r>
    <w:r>
      <w:instrText xml:space="preserve"> PAGE  \* Arabic  \* MERGEFORMAT </w:instrText>
    </w:r>
    <w:r>
      <w:fldChar w:fldCharType="separate"/>
    </w:r>
    <w:r w:rsidR="00056B02">
      <w:rPr>
        <w:noProof/>
      </w:rPr>
      <w:t>2</w:t>
    </w:r>
    <w:r>
      <w:fldChar w:fldCharType="end"/>
    </w:r>
    <w:r>
      <w:t>/</w:t>
    </w:r>
    <w:r>
      <w:fldChar w:fldCharType="begin"/>
    </w:r>
    <w:r>
      <w:instrText xml:space="preserve"> = </w:instrText>
    </w:r>
    <w:fldSimple w:instr=" NUMPAGES ">
      <w:r w:rsidR="00056B02">
        <w:rPr>
          <w:noProof/>
        </w:rPr>
        <w:instrText>2</w:instrText>
      </w:r>
    </w:fldSimple>
    <w:r>
      <w:instrText xml:space="preserve"> -0 </w:instrText>
    </w:r>
    <w:r>
      <w:fldChar w:fldCharType="separate"/>
    </w:r>
    <w:r w:rsidR="00056B02">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DE" w:rsidRPr="000954B0" w:rsidRDefault="00B34DDE" w:rsidP="000954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484" w:rsidRDefault="00CB2484" w:rsidP="00740901">
      <w:pPr>
        <w:spacing w:line="240" w:lineRule="auto"/>
      </w:pPr>
      <w:r>
        <w:separator/>
      </w:r>
    </w:p>
  </w:footnote>
  <w:footnote w:type="continuationSeparator" w:id="0">
    <w:p w:rsidR="00CB2484" w:rsidRDefault="00CB2484" w:rsidP="00740901">
      <w:pPr>
        <w:spacing w:line="240" w:lineRule="auto"/>
      </w:pPr>
      <w:r>
        <w:continuationSeparator/>
      </w:r>
    </w:p>
  </w:footnote>
  <w:footnote w:type="continuationNotice" w:id="1">
    <w:p w:rsidR="00CB2484" w:rsidRDefault="00CB2484">
      <w:pPr>
        <w:spacing w:line="240" w:lineRule="auto"/>
      </w:pPr>
    </w:p>
  </w:footnote>
  <w:footnote w:id="2">
    <w:p w:rsidR="00941022" w:rsidRPr="000954B0" w:rsidRDefault="00941022">
      <w:pPr>
        <w:pStyle w:val="Textonotapie"/>
      </w:pPr>
      <w:r>
        <w:rPr>
          <w:rStyle w:val="Refdenotaalpie"/>
        </w:rPr>
        <w:footnoteRef/>
      </w:r>
      <w:r>
        <w:t xml:space="preserve"> </w:t>
      </w:r>
      <w:r>
        <w:tab/>
        <w:t>NAT-V/029.</w:t>
      </w:r>
    </w:p>
  </w:footnote>
  <w:footnote w:id="3">
    <w:p w:rsidR="00B34DDE" w:rsidRPr="000954B0" w:rsidRDefault="00B34DDE" w:rsidP="00B954B3">
      <w:pPr>
        <w:pStyle w:val="Textonotapie"/>
        <w:ind w:left="567" w:hanging="567"/>
      </w:pPr>
      <w:r>
        <w:rPr>
          <w:rStyle w:val="Refdenotaalpie"/>
        </w:rPr>
        <w:footnoteRef/>
      </w:r>
      <w:r>
        <w:t xml:space="preserve"> </w:t>
      </w:r>
      <w:r>
        <w:tab/>
      </w:r>
      <w:hyperlink r:id="rId1">
        <w:r>
          <w:rPr>
            <w:rStyle w:val="Hipervnculo"/>
          </w:rPr>
          <w:t>DO C 225 de 27.7.2012, pp. 174-199</w:t>
        </w:r>
      </w:hyperlink>
      <w:r>
        <w:t>.</w:t>
      </w:r>
    </w:p>
  </w:footnote>
  <w:footnote w:id="4">
    <w:p w:rsidR="00B34DDE" w:rsidRPr="000954B0" w:rsidRDefault="00B34DDE" w:rsidP="00B954B3">
      <w:pPr>
        <w:pStyle w:val="Textonotapie"/>
        <w:ind w:left="567" w:hanging="567"/>
      </w:pPr>
      <w:r>
        <w:rPr>
          <w:rStyle w:val="Refdenotaalpie"/>
        </w:rPr>
        <w:footnoteRef/>
      </w:r>
      <w:r>
        <w:t xml:space="preserve"> </w:t>
      </w:r>
      <w:r>
        <w:tab/>
      </w:r>
      <w:hyperlink r:id="rId2">
        <w:r>
          <w:rPr>
            <w:rStyle w:val="Hipervnculo"/>
          </w:rPr>
          <w:t>DO C 17 de 19.1.2013, pp. 18-24</w:t>
        </w:r>
      </w:hyperlink>
      <w:r>
        <w:t>.</w:t>
      </w:r>
    </w:p>
  </w:footnote>
  <w:footnote w:id="5">
    <w:p w:rsidR="00B34DDE" w:rsidRPr="000954B0" w:rsidRDefault="00B34DDE" w:rsidP="00B954B3">
      <w:pPr>
        <w:pStyle w:val="Textonotapie"/>
        <w:ind w:left="567" w:hanging="567"/>
      </w:pPr>
      <w:r>
        <w:rPr>
          <w:rStyle w:val="Refdenotaalpie"/>
        </w:rPr>
        <w:footnoteRef/>
      </w:r>
      <w:r>
        <w:t xml:space="preserve"> </w:t>
      </w:r>
      <w:r>
        <w:tab/>
      </w:r>
      <w:hyperlink r:id="rId3">
        <w:r>
          <w:rPr>
            <w:rStyle w:val="Hipervnculo"/>
          </w:rPr>
          <w:t>DO C 17 de 19.1.2013, pp. 51-55</w:t>
        </w:r>
      </w:hyperlink>
      <w:r>
        <w:t>.</w:t>
      </w:r>
    </w:p>
  </w:footnote>
  <w:footnote w:id="6">
    <w:p w:rsidR="00B34DDE" w:rsidRPr="000954B0" w:rsidRDefault="00B34DDE" w:rsidP="00B954B3">
      <w:pPr>
        <w:pStyle w:val="Textonotapie"/>
        <w:ind w:left="567" w:hanging="567"/>
      </w:pPr>
      <w:r>
        <w:rPr>
          <w:rStyle w:val="Refdenotaalpie"/>
        </w:rPr>
        <w:footnoteRef/>
      </w:r>
      <w:r>
        <w:t xml:space="preserve"> </w:t>
      </w:r>
      <w:r>
        <w:tab/>
      </w:r>
      <w:hyperlink r:id="rId4">
        <w:r>
          <w:rPr>
            <w:rStyle w:val="Hipervnculo"/>
          </w:rPr>
          <w:t>DO C 356 de 5.12.2013, pp. 80-85</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B0" w:rsidRPr="000954B0" w:rsidRDefault="000954B0" w:rsidP="000954B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B0" w:rsidRPr="000954B0" w:rsidRDefault="000954B0" w:rsidP="000954B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B0" w:rsidRPr="000954B0" w:rsidRDefault="000954B0" w:rsidP="000954B0">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DE" w:rsidRPr="000954B0" w:rsidRDefault="00B34DDE" w:rsidP="000954B0">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DE" w:rsidRPr="000954B0" w:rsidRDefault="00B34DDE" w:rsidP="000954B0">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DE" w:rsidRPr="000954B0" w:rsidRDefault="00B34DDE" w:rsidP="000954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Ttulo1"/>
      <w:lvlText w:val="%1."/>
      <w:legacy w:legacy="1" w:legacySpace="0" w:legacyIndent="0"/>
      <w:lvlJc w:val="left"/>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nsid w:val="00000003"/>
    <w:multiLevelType w:val="multilevel"/>
    <w:tmpl w:val="00000002"/>
    <w:name w:val="WWNum13"/>
    <w:lvl w:ilvl="0">
      <w:start w:val="1"/>
      <w:numFmt w:val="upperRoman"/>
      <w:lvlText w:val="%1."/>
      <w:lvlJc w:val="left"/>
      <w:pPr>
        <w:tabs>
          <w:tab w:val="num" w:pos="0"/>
        </w:tabs>
        <w:ind w:left="360" w:hanging="360"/>
      </w:pPr>
      <w:rPr>
        <w:b/>
        <w:i w:val="0"/>
      </w:rPr>
    </w:lvl>
    <w:lvl w:ilvl="1">
      <w:start w:val="1"/>
      <w:numFmt w:val="bullet"/>
      <w:lvlText w:val="-"/>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nsid w:val="00000004"/>
    <w:multiLevelType w:val="multilevel"/>
    <w:tmpl w:val="00000003"/>
    <w:name w:val="WWNum23"/>
    <w:lvl w:ilvl="0">
      <w:start w:val="1"/>
      <w:numFmt w:val="bullet"/>
      <w:lvlText w:val=""/>
      <w:lvlJc w:val="left"/>
      <w:pPr>
        <w:tabs>
          <w:tab w:val="num" w:pos="0"/>
        </w:tabs>
        <w:ind w:left="1440" w:hanging="360"/>
      </w:pPr>
      <w:rPr>
        <w:rFonts w:ascii="Symbol" w:hAnsi="Symbol"/>
      </w:rPr>
    </w:lvl>
    <w:lvl w:ilvl="1">
      <w:start w:val="1"/>
      <w:numFmt w:val="bullet"/>
      <w:lvlText w:val="-"/>
      <w:lvlJc w:val="left"/>
      <w:pPr>
        <w:tabs>
          <w:tab w:val="num" w:pos="0"/>
        </w:tabs>
        <w:ind w:left="2160" w:hanging="360"/>
      </w:pPr>
      <w:rPr>
        <w:rFonts w:ascii="Times New Roman" w:hAnsi="Times New Roman" w:cs="Times New Roman"/>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1B"/>
    <w:multiLevelType w:val="hybridMultilevel"/>
    <w:tmpl w:val="DC08D098"/>
    <w:lvl w:ilvl="0" w:tplc="1522058E">
      <w:start w:val="1"/>
      <w:numFmt w:val="upperRoman"/>
      <w:lvlText w:val="%1."/>
      <w:lvlJc w:val="left"/>
      <w:pPr>
        <w:ind w:left="1080" w:hanging="720"/>
      </w:pPr>
      <w:rPr>
        <w:rFonts w:hint="default"/>
        <w:b/>
      </w:rPr>
    </w:lvl>
    <w:lvl w:ilvl="1" w:tplc="08090019">
      <w:start w:val="1"/>
      <w:numFmt w:val="lowerLetter"/>
      <w:lvlRestart w:val="0"/>
      <w:lvlText w:val="%2."/>
      <w:lvlJc w:val="left"/>
      <w:pPr>
        <w:ind w:left="1440" w:hanging="360"/>
      </w:pPr>
    </w:lvl>
    <w:lvl w:ilvl="2" w:tplc="0809001B">
      <w:start w:val="1"/>
      <w:numFmt w:val="lowerRoman"/>
      <w:lvlRestart w:val="0"/>
      <w:lvlText w:val="%3."/>
      <w:lvlJc w:val="right"/>
      <w:pPr>
        <w:ind w:left="2160" w:hanging="180"/>
      </w:pPr>
    </w:lvl>
    <w:lvl w:ilvl="3" w:tplc="0809000F">
      <w:start w:val="1"/>
      <w:numFmt w:val="decimal"/>
      <w:lvlRestart w:val="0"/>
      <w:lvlText w:val="%4."/>
      <w:lvlJc w:val="left"/>
      <w:pPr>
        <w:ind w:left="2880" w:hanging="360"/>
      </w:pPr>
    </w:lvl>
    <w:lvl w:ilvl="4" w:tplc="08090019">
      <w:start w:val="1"/>
      <w:numFmt w:val="lowerLetter"/>
      <w:lvlRestart w:val="0"/>
      <w:lvlText w:val="%5."/>
      <w:lvlJc w:val="left"/>
      <w:pPr>
        <w:ind w:left="3600" w:hanging="360"/>
      </w:pPr>
    </w:lvl>
    <w:lvl w:ilvl="5" w:tplc="0809001B">
      <w:start w:val="1"/>
      <w:numFmt w:val="lowerRoman"/>
      <w:lvlRestart w:val="0"/>
      <w:lvlText w:val="%6."/>
      <w:lvlJc w:val="right"/>
      <w:pPr>
        <w:ind w:left="4320" w:hanging="180"/>
      </w:pPr>
    </w:lvl>
    <w:lvl w:ilvl="6" w:tplc="0809000F">
      <w:start w:val="1"/>
      <w:numFmt w:val="decimal"/>
      <w:lvlRestart w:val="0"/>
      <w:lvlText w:val="%7."/>
      <w:lvlJc w:val="left"/>
      <w:pPr>
        <w:ind w:left="5040" w:hanging="360"/>
      </w:pPr>
    </w:lvl>
    <w:lvl w:ilvl="7" w:tplc="08090019">
      <w:start w:val="1"/>
      <w:numFmt w:val="lowerLetter"/>
      <w:lvlRestart w:val="0"/>
      <w:lvlText w:val="%8."/>
      <w:lvlJc w:val="left"/>
      <w:pPr>
        <w:ind w:left="5760" w:hanging="360"/>
      </w:pPr>
    </w:lvl>
    <w:lvl w:ilvl="8" w:tplc="0809001B">
      <w:start w:val="1"/>
      <w:numFmt w:val="lowerRoman"/>
      <w:lvlRestart w:val="0"/>
      <w:lvlText w:val="%9."/>
      <w:lvlJc w:val="right"/>
      <w:pPr>
        <w:ind w:left="6480" w:hanging="180"/>
      </w:pPr>
    </w:lvl>
  </w:abstractNum>
  <w:abstractNum w:abstractNumId="4">
    <w:nsid w:val="00D10851"/>
    <w:multiLevelType w:val="multilevel"/>
    <w:tmpl w:val="07301DA0"/>
    <w:lvl w:ilvl="0">
      <w:start w:val="1"/>
      <w:numFmt w:val="decimal"/>
      <w:lvlText w:val="%1."/>
      <w:lvlJc w:val="left"/>
      <w:pPr>
        <w:tabs>
          <w:tab w:val="num" w:pos="0"/>
        </w:tabs>
        <w:ind w:left="720" w:hanging="720"/>
      </w:pPr>
      <w:rPr>
        <w:rFonts w:cs="Times New Roman"/>
        <w:b w:val="0"/>
        <w:color w:val="auto"/>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720" w:hanging="720"/>
      </w:pPr>
      <w:rPr>
        <w:rFonts w:cs="Times New Roman"/>
      </w:rPr>
    </w:lvl>
    <w:lvl w:ilvl="5">
      <w:start w:val="1"/>
      <w:numFmt w:val="decimal"/>
      <w:lvlText w:val="%1.%2.%3.%4.%5.%6"/>
      <w:lvlJc w:val="left"/>
      <w:pPr>
        <w:tabs>
          <w:tab w:val="num" w:pos="0"/>
        </w:tabs>
        <w:ind w:left="720" w:hanging="720"/>
      </w:pPr>
      <w:rPr>
        <w:rFonts w:cs="Times New Roman"/>
      </w:rPr>
    </w:lvl>
    <w:lvl w:ilvl="6">
      <w:start w:val="1"/>
      <w:numFmt w:val="decimal"/>
      <w:lvlText w:val="%1.%2.%3.%4.%5.%6.%7"/>
      <w:lvlJc w:val="left"/>
      <w:pPr>
        <w:tabs>
          <w:tab w:val="num" w:pos="0"/>
        </w:tabs>
        <w:ind w:left="720" w:hanging="720"/>
      </w:pPr>
      <w:rPr>
        <w:rFonts w:cs="Times New Roman"/>
      </w:rPr>
    </w:lvl>
    <w:lvl w:ilvl="7">
      <w:start w:val="1"/>
      <w:numFmt w:val="decimal"/>
      <w:lvlText w:val="%1.%2.%3.%4.%5.%6.%7.%8"/>
      <w:lvlJc w:val="left"/>
      <w:pPr>
        <w:tabs>
          <w:tab w:val="num" w:pos="0"/>
        </w:tabs>
        <w:ind w:left="720" w:hanging="720"/>
      </w:pPr>
      <w:rPr>
        <w:rFonts w:cs="Times New Roman"/>
      </w:rPr>
    </w:lvl>
    <w:lvl w:ilvl="8">
      <w:start w:val="1"/>
      <w:numFmt w:val="decimal"/>
      <w:lvlText w:val="%1.%2.%3.%4.%5.%6.%7.%8.%9"/>
      <w:lvlJc w:val="left"/>
      <w:pPr>
        <w:tabs>
          <w:tab w:val="num" w:pos="0"/>
        </w:tabs>
        <w:ind w:left="720" w:hanging="720"/>
      </w:pPr>
      <w:rPr>
        <w:rFonts w:cs="Times New Roman"/>
      </w:rPr>
    </w:lvl>
  </w:abstractNum>
  <w:abstractNum w:abstractNumId="5">
    <w:nsid w:val="1EDA55C5"/>
    <w:multiLevelType w:val="hybridMultilevel"/>
    <w:tmpl w:val="17905CA0"/>
    <w:lvl w:ilvl="0" w:tplc="A68E0F82">
      <w:start w:val="1"/>
      <w:numFmt w:val="upperRoman"/>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0"/>
    <w:lvlOverride w:ilvl="0">
      <w:lvl w:ilvl="0">
        <w:start w:val="1"/>
        <w:numFmt w:val="decimal"/>
        <w:pStyle w:val="Ttulo1"/>
        <w:lvlText w:val="%1."/>
        <w:legacy w:legacy="1" w:legacySpace="0" w:legacyIndent="0"/>
        <w:lvlJc w:val="left"/>
      </w:lvl>
    </w:lvlOverride>
    <w:lvlOverride w:ilvl="1">
      <w:lvl w:ilvl="1">
        <w:start w:val="1"/>
        <w:numFmt w:val="decimal"/>
        <w:pStyle w:val="Ttulo2"/>
        <w:lvlText w:val="%1.%2"/>
        <w:legacy w:legacy="1" w:legacySpace="144" w:legacyIndent="0"/>
        <w:lvlJc w:val="left"/>
      </w:lvl>
    </w:lvlOverride>
    <w:lvlOverride w:ilvl="2">
      <w:lvl w:ilvl="2">
        <w:start w:val="1"/>
        <w:numFmt w:val="decimal"/>
        <w:pStyle w:val="Ttulo3"/>
        <w:lvlText w:val="%1.%2.%3"/>
        <w:legacy w:legacy="1" w:legacySpace="144" w:legacyIndent="0"/>
        <w:lvlJc w:val="left"/>
      </w:lvl>
    </w:lvlOverride>
    <w:lvlOverride w:ilvl="3">
      <w:lvl w:ilvl="3">
        <w:start w:val="1"/>
        <w:numFmt w:val="decimal"/>
        <w:pStyle w:val="Ttulo4"/>
        <w:lvlText w:val="%1.%2.%3.%4"/>
        <w:legacy w:legacy="1" w:legacySpace="144" w:legacyIndent="0"/>
        <w:lvlJc w:val="left"/>
      </w:lvl>
    </w:lvlOverride>
    <w:lvlOverride w:ilvl="4">
      <w:lvl w:ilvl="4">
        <w:start w:val="1"/>
        <w:numFmt w:val="decimal"/>
        <w:pStyle w:val="Ttulo5"/>
        <w:lvlText w:val="%1.%2.%3.%4.%5"/>
        <w:legacy w:legacy="1" w:legacySpace="144" w:legacyIndent="0"/>
        <w:lvlJc w:val="left"/>
      </w:lvl>
    </w:lvlOverride>
    <w:lvlOverride w:ilvl="5">
      <w:lvl w:ilvl="5">
        <w:start w:val="1"/>
        <w:numFmt w:val="decimal"/>
        <w:pStyle w:val="Ttulo6"/>
        <w:lvlText w:val="%1.%2.%3.%4.%5.%6"/>
        <w:legacy w:legacy="1" w:legacySpace="144" w:legacyIndent="0"/>
        <w:lvlJc w:val="left"/>
      </w:lvl>
    </w:lvlOverride>
    <w:lvlOverride w:ilvl="6">
      <w:lvl w:ilvl="6">
        <w:start w:val="1"/>
        <w:numFmt w:val="decimal"/>
        <w:pStyle w:val="Ttulo7"/>
        <w:lvlText w:val="%1.%2.%3.%4.%5.%6.%7"/>
        <w:legacy w:legacy="1" w:legacySpace="144" w:legacyIndent="0"/>
        <w:lvlJc w:val="left"/>
      </w:lvl>
    </w:lvlOverride>
    <w:lvlOverride w:ilvl="7">
      <w:lvl w:ilvl="7">
        <w:start w:val="1"/>
        <w:numFmt w:val="decimal"/>
        <w:pStyle w:val="Ttulo8"/>
        <w:lvlText w:val="%1.%2.%3.%4.%5.%6.%7.%8"/>
        <w:legacy w:legacy="1" w:legacySpace="144" w:legacyIndent="0"/>
        <w:lvlJc w:val="left"/>
      </w:lvl>
    </w:lvlOverride>
    <w:lvlOverride w:ilvl="8">
      <w:lvl w:ilvl="8">
        <w:start w:val="1"/>
        <w:numFmt w:val="decimal"/>
        <w:pStyle w:val="Ttulo9"/>
        <w:lvlText w:val="%1.%2.%3.%4.%5.%6.%7.%8.%9"/>
        <w:legacy w:legacy="1" w:legacySpace="144" w:legacyIndent="0"/>
        <w:lvlJc w:val="left"/>
      </w:lvl>
    </w:lvlOverride>
  </w:num>
  <w:num w:numId="5">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6">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7">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8">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9">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10">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11">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12">
    <w:abstractNumId w:val="0"/>
    <w:lvlOverride w:ilvl="0">
      <w:lvl w:ilvl="0">
        <w:start w:val="1"/>
        <w:numFmt w:val="decimal"/>
        <w:pStyle w:val="Ttulo1"/>
        <w:lvlText w:val="%1."/>
        <w:legacy w:legacy="1" w:legacySpace="0" w:legacyIndent="0"/>
        <w:lvlJc w:val="left"/>
      </w:lvl>
    </w:lvlOverride>
    <w:lvlOverride w:ilvl="1">
      <w:lvl w:ilvl="1">
        <w:start w:val="1"/>
        <w:numFmt w:val="decimal"/>
        <w:pStyle w:val="Ttulo2"/>
        <w:lvlText w:val="%1.%2"/>
        <w:legacy w:legacy="1" w:legacySpace="144" w:legacyIndent="0"/>
        <w:lvlJc w:val="left"/>
      </w:lvl>
    </w:lvlOverride>
    <w:lvlOverride w:ilvl="2">
      <w:lvl w:ilvl="2">
        <w:start w:val="1"/>
        <w:numFmt w:val="decimal"/>
        <w:pStyle w:val="Ttulo3"/>
        <w:lvlText w:val="%1.%2.%3"/>
        <w:legacy w:legacy="1" w:legacySpace="144" w:legacyIndent="0"/>
        <w:lvlJc w:val="left"/>
      </w:lvl>
    </w:lvlOverride>
    <w:lvlOverride w:ilvl="3">
      <w:lvl w:ilvl="3">
        <w:start w:val="1"/>
        <w:numFmt w:val="decimal"/>
        <w:pStyle w:val="Ttulo4"/>
        <w:lvlText w:val="%1.%2.%3.%4"/>
        <w:legacy w:legacy="1" w:legacySpace="144" w:legacyIndent="0"/>
        <w:lvlJc w:val="left"/>
      </w:lvl>
    </w:lvlOverride>
    <w:lvlOverride w:ilvl="4">
      <w:lvl w:ilvl="4">
        <w:start w:val="1"/>
        <w:numFmt w:val="decimal"/>
        <w:pStyle w:val="Ttulo5"/>
        <w:lvlText w:val="%1.%2.%3.%4.%5"/>
        <w:legacy w:legacy="1" w:legacySpace="144" w:legacyIndent="0"/>
        <w:lvlJc w:val="left"/>
      </w:lvl>
    </w:lvlOverride>
    <w:lvlOverride w:ilvl="5">
      <w:lvl w:ilvl="5">
        <w:start w:val="1"/>
        <w:numFmt w:val="decimal"/>
        <w:pStyle w:val="Ttulo6"/>
        <w:lvlText w:val="%1.%2.%3.%4.%5.%6"/>
        <w:legacy w:legacy="1" w:legacySpace="144" w:legacyIndent="0"/>
        <w:lvlJc w:val="left"/>
      </w:lvl>
    </w:lvlOverride>
    <w:lvlOverride w:ilvl="6">
      <w:lvl w:ilvl="6">
        <w:start w:val="1"/>
        <w:numFmt w:val="decimal"/>
        <w:pStyle w:val="Ttulo7"/>
        <w:lvlText w:val="%1.%2.%3.%4.%5.%6.%7"/>
        <w:legacy w:legacy="1" w:legacySpace="144" w:legacyIndent="0"/>
        <w:lvlJc w:val="left"/>
      </w:lvl>
    </w:lvlOverride>
    <w:lvlOverride w:ilvl="7">
      <w:lvl w:ilvl="7">
        <w:start w:val="1"/>
        <w:numFmt w:val="decimal"/>
        <w:pStyle w:val="Ttulo8"/>
        <w:lvlText w:val="%1.%2.%3.%4.%5.%6.%7.%8"/>
        <w:legacy w:legacy="1" w:legacySpace="144" w:legacyIndent="0"/>
        <w:lvlJc w:val="left"/>
      </w:lvl>
    </w:lvlOverride>
    <w:lvlOverride w:ilvl="8">
      <w:lvl w:ilvl="8">
        <w:start w:val="1"/>
        <w:numFmt w:val="decimal"/>
        <w:pStyle w:val="Ttulo9"/>
        <w:lvlText w:val="%1.%2.%3.%4.%5.%6.%7.%8.%9"/>
        <w:legacy w:legacy="1" w:legacySpace="144" w:legacyIndent="0"/>
        <w:lvlJc w:val="left"/>
      </w:lvl>
    </w:lvlOverride>
  </w:num>
  <w:num w:numId="13">
    <w:abstractNumId w:val="0"/>
    <w:lvlOverride w:ilvl="0">
      <w:lvl w:ilvl="0">
        <w:start w:val="1"/>
        <w:numFmt w:val="decimal"/>
        <w:pStyle w:val="Ttulo1"/>
        <w:lvlText w:val="%1."/>
        <w:legacy w:legacy="1" w:legacySpace="0" w:legacyIndent="0"/>
        <w:lvlJc w:val="left"/>
      </w:lvl>
    </w:lvlOverride>
    <w:lvlOverride w:ilvl="1">
      <w:lvl w:ilvl="1">
        <w:start w:val="1"/>
        <w:numFmt w:val="decimal"/>
        <w:pStyle w:val="Ttulo2"/>
        <w:lvlText w:val="%1.%2"/>
        <w:legacy w:legacy="1" w:legacySpace="144" w:legacyIndent="0"/>
        <w:lvlJc w:val="left"/>
      </w:lvl>
    </w:lvlOverride>
    <w:lvlOverride w:ilvl="2">
      <w:lvl w:ilvl="2">
        <w:start w:val="1"/>
        <w:numFmt w:val="decimal"/>
        <w:pStyle w:val="Ttulo3"/>
        <w:lvlText w:val="%1.%2.%3"/>
        <w:legacy w:legacy="1" w:legacySpace="144" w:legacyIndent="0"/>
        <w:lvlJc w:val="left"/>
      </w:lvl>
    </w:lvlOverride>
    <w:lvlOverride w:ilvl="3">
      <w:lvl w:ilvl="3">
        <w:start w:val="1"/>
        <w:numFmt w:val="decimal"/>
        <w:pStyle w:val="Ttulo4"/>
        <w:lvlText w:val="%1.%2.%3.%4"/>
        <w:legacy w:legacy="1" w:legacySpace="144" w:legacyIndent="0"/>
        <w:lvlJc w:val="left"/>
      </w:lvl>
    </w:lvlOverride>
    <w:lvlOverride w:ilvl="4">
      <w:lvl w:ilvl="4">
        <w:start w:val="1"/>
        <w:numFmt w:val="decimal"/>
        <w:pStyle w:val="Ttulo5"/>
        <w:lvlText w:val="%1.%2.%3.%4.%5"/>
        <w:legacy w:legacy="1" w:legacySpace="144" w:legacyIndent="0"/>
        <w:lvlJc w:val="left"/>
      </w:lvl>
    </w:lvlOverride>
    <w:lvlOverride w:ilvl="5">
      <w:lvl w:ilvl="5">
        <w:start w:val="1"/>
        <w:numFmt w:val="decimal"/>
        <w:pStyle w:val="Ttulo6"/>
        <w:lvlText w:val="%1.%2.%3.%4.%5.%6"/>
        <w:legacy w:legacy="1" w:legacySpace="144" w:legacyIndent="0"/>
        <w:lvlJc w:val="left"/>
      </w:lvl>
    </w:lvlOverride>
    <w:lvlOverride w:ilvl="6">
      <w:lvl w:ilvl="6">
        <w:start w:val="1"/>
        <w:numFmt w:val="decimal"/>
        <w:pStyle w:val="Ttulo7"/>
        <w:lvlText w:val="%1.%2.%3.%4.%5.%6.%7"/>
        <w:legacy w:legacy="1" w:legacySpace="144" w:legacyIndent="0"/>
        <w:lvlJc w:val="left"/>
      </w:lvl>
    </w:lvlOverride>
    <w:lvlOverride w:ilvl="7">
      <w:lvl w:ilvl="7">
        <w:start w:val="1"/>
        <w:numFmt w:val="decimal"/>
        <w:pStyle w:val="Ttulo8"/>
        <w:lvlText w:val="%1.%2.%3.%4.%5.%6.%7.%8"/>
        <w:legacy w:legacy="1" w:legacySpace="144" w:legacyIndent="0"/>
        <w:lvlJc w:val="left"/>
      </w:lvl>
    </w:lvlOverride>
    <w:lvlOverride w:ilvl="8">
      <w:lvl w:ilvl="8">
        <w:start w:val="1"/>
        <w:numFmt w:val="decimal"/>
        <w:pStyle w:val="Ttulo9"/>
        <w:lvlText w:val="%1.%2.%3.%4.%5.%6.%7.%8.%9"/>
        <w:legacy w:legacy="1" w:legacySpace="144" w:legacyIndent="0"/>
        <w:lvlJc w:val="left"/>
      </w:lvl>
    </w:lvlOverride>
  </w:num>
  <w:num w:numId="14">
    <w:abstractNumId w:val="0"/>
    <w:lvlOverride w:ilvl="0">
      <w:lvl w:ilvl="0">
        <w:start w:val="1"/>
        <w:numFmt w:val="decimal"/>
        <w:pStyle w:val="Ttulo1"/>
        <w:lvlText w:val="%1."/>
        <w:legacy w:legacy="1" w:legacySpace="0" w:legacyIndent="0"/>
        <w:lvlJc w:val="left"/>
      </w:lvl>
    </w:lvlOverride>
    <w:lvlOverride w:ilvl="1">
      <w:lvl w:ilvl="1">
        <w:start w:val="1"/>
        <w:numFmt w:val="decimal"/>
        <w:pStyle w:val="Ttulo2"/>
        <w:lvlText w:val="%1.%2"/>
        <w:legacy w:legacy="1" w:legacySpace="144" w:legacyIndent="0"/>
        <w:lvlJc w:val="left"/>
      </w:lvl>
    </w:lvlOverride>
    <w:lvlOverride w:ilvl="2">
      <w:lvl w:ilvl="2">
        <w:start w:val="1"/>
        <w:numFmt w:val="decimal"/>
        <w:pStyle w:val="Ttulo3"/>
        <w:lvlText w:val="%1.%2.%3"/>
        <w:legacy w:legacy="1" w:legacySpace="144" w:legacyIndent="0"/>
        <w:lvlJc w:val="left"/>
      </w:lvl>
    </w:lvlOverride>
    <w:lvlOverride w:ilvl="3">
      <w:lvl w:ilvl="3">
        <w:start w:val="1"/>
        <w:numFmt w:val="decimal"/>
        <w:pStyle w:val="Ttulo4"/>
        <w:lvlText w:val="%1.%2.%3.%4"/>
        <w:legacy w:legacy="1" w:legacySpace="144" w:legacyIndent="0"/>
        <w:lvlJc w:val="left"/>
      </w:lvl>
    </w:lvlOverride>
    <w:lvlOverride w:ilvl="4">
      <w:lvl w:ilvl="4">
        <w:start w:val="1"/>
        <w:numFmt w:val="decimal"/>
        <w:pStyle w:val="Ttulo5"/>
        <w:lvlText w:val="%1.%2.%3.%4.%5"/>
        <w:legacy w:legacy="1" w:legacySpace="144" w:legacyIndent="0"/>
        <w:lvlJc w:val="left"/>
      </w:lvl>
    </w:lvlOverride>
    <w:lvlOverride w:ilvl="5">
      <w:lvl w:ilvl="5">
        <w:start w:val="1"/>
        <w:numFmt w:val="decimal"/>
        <w:pStyle w:val="Ttulo6"/>
        <w:lvlText w:val="%1.%2.%3.%4.%5.%6"/>
        <w:legacy w:legacy="1" w:legacySpace="144" w:legacyIndent="0"/>
        <w:lvlJc w:val="left"/>
      </w:lvl>
    </w:lvlOverride>
    <w:lvlOverride w:ilvl="6">
      <w:lvl w:ilvl="6">
        <w:start w:val="1"/>
        <w:numFmt w:val="decimal"/>
        <w:pStyle w:val="Ttulo7"/>
        <w:lvlText w:val="%1.%2.%3.%4.%5.%6.%7"/>
        <w:legacy w:legacy="1" w:legacySpace="144" w:legacyIndent="0"/>
        <w:lvlJc w:val="left"/>
      </w:lvl>
    </w:lvlOverride>
    <w:lvlOverride w:ilvl="7">
      <w:lvl w:ilvl="7">
        <w:start w:val="1"/>
        <w:numFmt w:val="decimal"/>
        <w:pStyle w:val="Ttulo8"/>
        <w:lvlText w:val="%1.%2.%3.%4.%5.%6.%7.%8"/>
        <w:legacy w:legacy="1" w:legacySpace="144" w:legacyIndent="0"/>
        <w:lvlJc w:val="left"/>
      </w:lvl>
    </w:lvlOverride>
    <w:lvlOverride w:ilvl="8">
      <w:lvl w:ilvl="8">
        <w:start w:val="1"/>
        <w:numFmt w:val="decimal"/>
        <w:pStyle w:val="Ttulo9"/>
        <w:lvlText w:val="%1.%2.%3.%4.%5.%6.%7.%8.%9"/>
        <w:legacy w:legacy="1" w:legacySpace="144" w:legacyIndent="0"/>
        <w:lvlJc w:val="left"/>
      </w:lvl>
    </w:lvlOverride>
  </w:num>
  <w:num w:numId="15">
    <w:abstractNumId w:val="0"/>
    <w:lvlOverride w:ilvl="0">
      <w:lvl w:ilvl="0">
        <w:start w:val="1"/>
        <w:numFmt w:val="decimal"/>
        <w:pStyle w:val="Ttulo1"/>
        <w:lvlText w:val="%1."/>
        <w:legacy w:legacy="1" w:legacySpace="0" w:legacyIndent="0"/>
        <w:lvlJc w:val="left"/>
      </w:lvl>
    </w:lvlOverride>
    <w:lvlOverride w:ilvl="1">
      <w:lvl w:ilvl="1">
        <w:start w:val="1"/>
        <w:numFmt w:val="decimal"/>
        <w:pStyle w:val="Ttulo2"/>
        <w:lvlText w:val="%1.%2"/>
        <w:legacy w:legacy="1" w:legacySpace="144" w:legacyIndent="0"/>
        <w:lvlJc w:val="left"/>
      </w:lvl>
    </w:lvlOverride>
    <w:lvlOverride w:ilvl="2">
      <w:lvl w:ilvl="2">
        <w:start w:val="1"/>
        <w:numFmt w:val="decimal"/>
        <w:pStyle w:val="Ttulo3"/>
        <w:lvlText w:val="%1.%2.%3"/>
        <w:legacy w:legacy="1" w:legacySpace="144" w:legacyIndent="0"/>
        <w:lvlJc w:val="left"/>
      </w:lvl>
    </w:lvlOverride>
    <w:lvlOverride w:ilvl="3">
      <w:lvl w:ilvl="3">
        <w:start w:val="1"/>
        <w:numFmt w:val="decimal"/>
        <w:pStyle w:val="Ttulo4"/>
        <w:lvlText w:val="%1.%2.%3.%4"/>
        <w:legacy w:legacy="1" w:legacySpace="144" w:legacyIndent="0"/>
        <w:lvlJc w:val="left"/>
      </w:lvl>
    </w:lvlOverride>
    <w:lvlOverride w:ilvl="4">
      <w:lvl w:ilvl="4">
        <w:start w:val="1"/>
        <w:numFmt w:val="decimal"/>
        <w:pStyle w:val="Ttulo5"/>
        <w:lvlText w:val="%1.%2.%3.%4.%5"/>
        <w:legacy w:legacy="1" w:legacySpace="144" w:legacyIndent="0"/>
        <w:lvlJc w:val="left"/>
      </w:lvl>
    </w:lvlOverride>
    <w:lvlOverride w:ilvl="5">
      <w:lvl w:ilvl="5">
        <w:start w:val="1"/>
        <w:numFmt w:val="decimal"/>
        <w:pStyle w:val="Ttulo6"/>
        <w:lvlText w:val="%1.%2.%3.%4.%5.%6"/>
        <w:legacy w:legacy="1" w:legacySpace="144" w:legacyIndent="0"/>
        <w:lvlJc w:val="left"/>
      </w:lvl>
    </w:lvlOverride>
    <w:lvlOverride w:ilvl="6">
      <w:lvl w:ilvl="6">
        <w:start w:val="1"/>
        <w:numFmt w:val="decimal"/>
        <w:pStyle w:val="Ttulo7"/>
        <w:lvlText w:val="%1.%2.%3.%4.%5.%6.%7"/>
        <w:legacy w:legacy="1" w:legacySpace="144" w:legacyIndent="0"/>
        <w:lvlJc w:val="left"/>
      </w:lvl>
    </w:lvlOverride>
    <w:lvlOverride w:ilvl="7">
      <w:lvl w:ilvl="7">
        <w:start w:val="1"/>
        <w:numFmt w:val="decimal"/>
        <w:pStyle w:val="Ttulo8"/>
        <w:lvlText w:val="%1.%2.%3.%4.%5.%6.%7.%8"/>
        <w:legacy w:legacy="1" w:legacySpace="144" w:legacyIndent="0"/>
        <w:lvlJc w:val="left"/>
      </w:lvl>
    </w:lvlOverride>
    <w:lvlOverride w:ilvl="8">
      <w:lvl w:ilvl="8">
        <w:start w:val="1"/>
        <w:numFmt w:val="decimal"/>
        <w:pStyle w:val="Ttulo9"/>
        <w:lvlText w:val="%1.%2.%3.%4.%5.%6.%7.%8.%9"/>
        <w:legacy w:legacy="1" w:legacySpace="144" w:legacyIndent="0"/>
        <w:lvlJc w:val="left"/>
      </w:lvl>
    </w:lvlOverride>
  </w:num>
  <w:num w:numId="16">
    <w:abstractNumId w:val="0"/>
    <w:lvlOverride w:ilvl="0">
      <w:lvl w:ilvl="0">
        <w:start w:val="1"/>
        <w:numFmt w:val="decimal"/>
        <w:pStyle w:val="Ttulo1"/>
        <w:lvlText w:val="%1."/>
        <w:legacy w:legacy="1" w:legacySpace="0" w:legacyIndent="0"/>
        <w:lvlJc w:val="left"/>
      </w:lvl>
    </w:lvlOverride>
    <w:lvlOverride w:ilvl="1">
      <w:lvl w:ilvl="1">
        <w:start w:val="1"/>
        <w:numFmt w:val="decimal"/>
        <w:pStyle w:val="Ttulo2"/>
        <w:lvlText w:val="%1.%2"/>
        <w:legacy w:legacy="1" w:legacySpace="144" w:legacyIndent="0"/>
        <w:lvlJc w:val="left"/>
      </w:lvl>
    </w:lvlOverride>
    <w:lvlOverride w:ilvl="2">
      <w:lvl w:ilvl="2">
        <w:start w:val="1"/>
        <w:numFmt w:val="decimal"/>
        <w:pStyle w:val="Ttulo3"/>
        <w:lvlText w:val="%1.%2.%3"/>
        <w:legacy w:legacy="1" w:legacySpace="144" w:legacyIndent="0"/>
        <w:lvlJc w:val="left"/>
      </w:lvl>
    </w:lvlOverride>
    <w:lvlOverride w:ilvl="3">
      <w:lvl w:ilvl="3">
        <w:start w:val="1"/>
        <w:numFmt w:val="decimal"/>
        <w:pStyle w:val="Ttulo4"/>
        <w:lvlText w:val="%1.%2.%3.%4"/>
        <w:legacy w:legacy="1" w:legacySpace="144" w:legacyIndent="0"/>
        <w:lvlJc w:val="left"/>
      </w:lvl>
    </w:lvlOverride>
    <w:lvlOverride w:ilvl="4">
      <w:lvl w:ilvl="4">
        <w:start w:val="1"/>
        <w:numFmt w:val="decimal"/>
        <w:pStyle w:val="Ttulo5"/>
        <w:lvlText w:val="%1.%2.%3.%4.%5"/>
        <w:legacy w:legacy="1" w:legacySpace="144" w:legacyIndent="0"/>
        <w:lvlJc w:val="left"/>
      </w:lvl>
    </w:lvlOverride>
    <w:lvlOverride w:ilvl="5">
      <w:lvl w:ilvl="5">
        <w:start w:val="1"/>
        <w:numFmt w:val="decimal"/>
        <w:pStyle w:val="Ttulo6"/>
        <w:lvlText w:val="%1.%2.%3.%4.%5.%6"/>
        <w:legacy w:legacy="1" w:legacySpace="144" w:legacyIndent="0"/>
        <w:lvlJc w:val="left"/>
      </w:lvl>
    </w:lvlOverride>
    <w:lvlOverride w:ilvl="6">
      <w:lvl w:ilvl="6">
        <w:start w:val="1"/>
        <w:numFmt w:val="decimal"/>
        <w:pStyle w:val="Ttulo7"/>
        <w:lvlText w:val="%1.%2.%3.%4.%5.%6.%7"/>
        <w:legacy w:legacy="1" w:legacySpace="144" w:legacyIndent="0"/>
        <w:lvlJc w:val="left"/>
      </w:lvl>
    </w:lvlOverride>
    <w:lvlOverride w:ilvl="7">
      <w:lvl w:ilvl="7">
        <w:start w:val="1"/>
        <w:numFmt w:val="decimal"/>
        <w:pStyle w:val="Ttulo8"/>
        <w:lvlText w:val="%1.%2.%3.%4.%5.%6.%7.%8"/>
        <w:legacy w:legacy="1" w:legacySpace="144" w:legacyIndent="0"/>
        <w:lvlJc w:val="left"/>
      </w:lvl>
    </w:lvlOverride>
    <w:lvlOverride w:ilvl="8">
      <w:lvl w:ilvl="8">
        <w:start w:val="1"/>
        <w:numFmt w:val="decimal"/>
        <w:pStyle w:val="Ttulo9"/>
        <w:lvlText w:val="%1.%2.%3.%4.%5.%6.%7.%8.%9"/>
        <w:legacy w:legacy="1" w:legacySpace="144" w:legacyIndent="0"/>
        <w:lvlJc w:val="left"/>
      </w:lvl>
    </w:lvlOverride>
  </w:num>
  <w:num w:numId="17">
    <w:abstractNumId w:val="0"/>
    <w:lvlOverride w:ilvl="0">
      <w:lvl w:ilvl="0">
        <w:start w:val="1"/>
        <w:numFmt w:val="decimal"/>
        <w:pStyle w:val="Ttulo1"/>
        <w:lvlText w:val="%1."/>
        <w:legacy w:legacy="1" w:legacySpace="0" w:legacyIndent="0"/>
        <w:lvlJc w:val="left"/>
      </w:lvl>
    </w:lvlOverride>
    <w:lvlOverride w:ilvl="1">
      <w:lvl w:ilvl="1">
        <w:start w:val="1"/>
        <w:numFmt w:val="decimal"/>
        <w:pStyle w:val="Ttulo2"/>
        <w:lvlText w:val="%1.%2"/>
        <w:legacy w:legacy="1" w:legacySpace="144" w:legacyIndent="0"/>
        <w:lvlJc w:val="left"/>
      </w:lvl>
    </w:lvlOverride>
    <w:lvlOverride w:ilvl="2">
      <w:lvl w:ilvl="2">
        <w:start w:val="1"/>
        <w:numFmt w:val="decimal"/>
        <w:pStyle w:val="Ttulo3"/>
        <w:lvlText w:val="%1.%2.%3"/>
        <w:legacy w:legacy="1" w:legacySpace="144" w:legacyIndent="0"/>
        <w:lvlJc w:val="left"/>
      </w:lvl>
    </w:lvlOverride>
    <w:lvlOverride w:ilvl="3">
      <w:lvl w:ilvl="3">
        <w:start w:val="1"/>
        <w:numFmt w:val="decimal"/>
        <w:pStyle w:val="Ttulo4"/>
        <w:lvlText w:val="%1.%2.%3.%4"/>
        <w:legacy w:legacy="1" w:legacySpace="144" w:legacyIndent="0"/>
        <w:lvlJc w:val="left"/>
      </w:lvl>
    </w:lvlOverride>
    <w:lvlOverride w:ilvl="4">
      <w:lvl w:ilvl="4">
        <w:start w:val="1"/>
        <w:numFmt w:val="decimal"/>
        <w:pStyle w:val="Ttulo5"/>
        <w:lvlText w:val="%1.%2.%3.%4.%5"/>
        <w:legacy w:legacy="1" w:legacySpace="144" w:legacyIndent="0"/>
        <w:lvlJc w:val="left"/>
      </w:lvl>
    </w:lvlOverride>
    <w:lvlOverride w:ilvl="5">
      <w:lvl w:ilvl="5">
        <w:start w:val="1"/>
        <w:numFmt w:val="decimal"/>
        <w:pStyle w:val="Ttulo6"/>
        <w:lvlText w:val="%1.%2.%3.%4.%5.%6"/>
        <w:legacy w:legacy="1" w:legacySpace="144" w:legacyIndent="0"/>
        <w:lvlJc w:val="left"/>
      </w:lvl>
    </w:lvlOverride>
    <w:lvlOverride w:ilvl="6">
      <w:lvl w:ilvl="6">
        <w:start w:val="1"/>
        <w:numFmt w:val="decimal"/>
        <w:pStyle w:val="Ttulo7"/>
        <w:lvlText w:val="%1.%2.%3.%4.%5.%6.%7"/>
        <w:legacy w:legacy="1" w:legacySpace="144" w:legacyIndent="0"/>
        <w:lvlJc w:val="left"/>
      </w:lvl>
    </w:lvlOverride>
    <w:lvlOverride w:ilvl="7">
      <w:lvl w:ilvl="7">
        <w:start w:val="1"/>
        <w:numFmt w:val="decimal"/>
        <w:pStyle w:val="Ttulo8"/>
        <w:lvlText w:val="%1.%2.%3.%4.%5.%6.%7.%8"/>
        <w:legacy w:legacy="1" w:legacySpace="144" w:legacyIndent="0"/>
        <w:lvlJc w:val="left"/>
      </w:lvl>
    </w:lvlOverride>
    <w:lvlOverride w:ilvl="8">
      <w:lvl w:ilvl="8">
        <w:start w:val="1"/>
        <w:numFmt w:val="decimal"/>
        <w:pStyle w:val="Ttulo9"/>
        <w:lvlText w:val="%1.%2.%3.%4.%5.%6.%7.%8.%9"/>
        <w:legacy w:legacy="1" w:legacySpace="144" w:legacyIndent="0"/>
        <w:lvlJc w:val="left"/>
      </w:lvl>
    </w:lvlOverride>
  </w:num>
  <w:num w:numId="18">
    <w:abstractNumId w:val="0"/>
    <w:lvlOverride w:ilvl="0">
      <w:lvl w:ilvl="0">
        <w:start w:val="1"/>
        <w:numFmt w:val="decimal"/>
        <w:pStyle w:val="Ttulo1"/>
        <w:lvlText w:val="%1."/>
        <w:legacy w:legacy="1" w:legacySpace="0" w:legacyIndent="0"/>
        <w:lvlJc w:val="left"/>
      </w:lvl>
    </w:lvlOverride>
    <w:lvlOverride w:ilvl="1">
      <w:lvl w:ilvl="1">
        <w:start w:val="1"/>
        <w:numFmt w:val="decimal"/>
        <w:pStyle w:val="Ttulo2"/>
        <w:lvlText w:val="%1.%2"/>
        <w:legacy w:legacy="1" w:legacySpace="144" w:legacyIndent="0"/>
        <w:lvlJc w:val="left"/>
      </w:lvl>
    </w:lvlOverride>
    <w:lvlOverride w:ilvl="2">
      <w:lvl w:ilvl="2">
        <w:start w:val="1"/>
        <w:numFmt w:val="decimal"/>
        <w:pStyle w:val="Ttulo3"/>
        <w:lvlText w:val="%1.%2.%3"/>
        <w:legacy w:legacy="1" w:legacySpace="144" w:legacyIndent="0"/>
        <w:lvlJc w:val="left"/>
      </w:lvl>
    </w:lvlOverride>
    <w:lvlOverride w:ilvl="3">
      <w:lvl w:ilvl="3">
        <w:start w:val="1"/>
        <w:numFmt w:val="decimal"/>
        <w:pStyle w:val="Ttulo4"/>
        <w:lvlText w:val="%1.%2.%3.%4"/>
        <w:legacy w:legacy="1" w:legacySpace="144" w:legacyIndent="0"/>
        <w:lvlJc w:val="left"/>
      </w:lvl>
    </w:lvlOverride>
    <w:lvlOverride w:ilvl="4">
      <w:lvl w:ilvl="4">
        <w:start w:val="1"/>
        <w:numFmt w:val="decimal"/>
        <w:pStyle w:val="Ttulo5"/>
        <w:lvlText w:val="%1.%2.%3.%4.%5"/>
        <w:legacy w:legacy="1" w:legacySpace="144" w:legacyIndent="0"/>
        <w:lvlJc w:val="left"/>
      </w:lvl>
    </w:lvlOverride>
    <w:lvlOverride w:ilvl="5">
      <w:lvl w:ilvl="5">
        <w:start w:val="1"/>
        <w:numFmt w:val="decimal"/>
        <w:pStyle w:val="Ttulo6"/>
        <w:lvlText w:val="%1.%2.%3.%4.%5.%6"/>
        <w:legacy w:legacy="1" w:legacySpace="144" w:legacyIndent="0"/>
        <w:lvlJc w:val="left"/>
      </w:lvl>
    </w:lvlOverride>
    <w:lvlOverride w:ilvl="6">
      <w:lvl w:ilvl="6">
        <w:start w:val="1"/>
        <w:numFmt w:val="decimal"/>
        <w:pStyle w:val="Ttulo7"/>
        <w:lvlText w:val="%1.%2.%3.%4.%5.%6.%7"/>
        <w:legacy w:legacy="1" w:legacySpace="144" w:legacyIndent="0"/>
        <w:lvlJc w:val="left"/>
      </w:lvl>
    </w:lvlOverride>
    <w:lvlOverride w:ilvl="7">
      <w:lvl w:ilvl="7">
        <w:start w:val="1"/>
        <w:numFmt w:val="decimal"/>
        <w:pStyle w:val="Ttulo8"/>
        <w:lvlText w:val="%1.%2.%3.%4.%5.%6.%7.%8"/>
        <w:legacy w:legacy="1" w:legacySpace="144" w:legacyIndent="0"/>
        <w:lvlJc w:val="left"/>
      </w:lvl>
    </w:lvlOverride>
    <w:lvlOverride w:ilvl="8">
      <w:lvl w:ilvl="8">
        <w:start w:val="1"/>
        <w:numFmt w:val="decimal"/>
        <w:pStyle w:val="Ttulo9"/>
        <w:lvlText w:val="%1.%2.%3.%4.%5.%6.%7.%8.%9"/>
        <w:legacy w:legacy="1" w:legacySpace="144" w:legacyIndent="0"/>
        <w:lvlJc w:val="left"/>
      </w:lvl>
    </w:lvlOverride>
  </w:num>
  <w:num w:numId="19">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20">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21">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22">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23">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24">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25">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26">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27">
    <w:abstractNumId w:val="0"/>
    <w:lvlOverride w:ilvl="0">
      <w:lvl w:ilvl="0">
        <w:start w:val="1"/>
        <w:numFmt w:val="decimal"/>
        <w:pStyle w:val="Ttulo1"/>
        <w:lvlText w:val="%1."/>
        <w:legacy w:legacy="1" w:legacySpace="0" w:legacyIndent="0"/>
        <w:lvlJc w:val="left"/>
      </w:lvl>
    </w:lvlOverride>
    <w:lvlOverride w:ilvl="1">
      <w:lvl w:ilvl="1">
        <w:start w:val="1"/>
        <w:numFmt w:val="decimal"/>
        <w:pStyle w:val="Ttulo2"/>
        <w:lvlText w:val="%1.%2"/>
        <w:legacy w:legacy="1" w:legacySpace="144" w:legacyIndent="0"/>
        <w:lvlJc w:val="left"/>
      </w:lvl>
    </w:lvlOverride>
    <w:lvlOverride w:ilvl="2">
      <w:lvl w:ilvl="2">
        <w:start w:val="1"/>
        <w:numFmt w:val="decimal"/>
        <w:pStyle w:val="Ttulo3"/>
        <w:lvlText w:val="%1.%2.%3"/>
        <w:legacy w:legacy="1" w:legacySpace="144" w:legacyIndent="0"/>
        <w:lvlJc w:val="left"/>
      </w:lvl>
    </w:lvlOverride>
    <w:lvlOverride w:ilvl="3">
      <w:lvl w:ilvl="3">
        <w:start w:val="1"/>
        <w:numFmt w:val="decimal"/>
        <w:pStyle w:val="Ttulo4"/>
        <w:lvlText w:val="%1.%2.%3.%4"/>
        <w:legacy w:legacy="1" w:legacySpace="144" w:legacyIndent="0"/>
        <w:lvlJc w:val="left"/>
      </w:lvl>
    </w:lvlOverride>
    <w:lvlOverride w:ilvl="4">
      <w:lvl w:ilvl="4">
        <w:start w:val="1"/>
        <w:numFmt w:val="decimal"/>
        <w:pStyle w:val="Ttulo5"/>
        <w:lvlText w:val="%1.%2.%3.%4.%5"/>
        <w:legacy w:legacy="1" w:legacySpace="144" w:legacyIndent="0"/>
        <w:lvlJc w:val="left"/>
      </w:lvl>
    </w:lvlOverride>
    <w:lvlOverride w:ilvl="5">
      <w:lvl w:ilvl="5">
        <w:start w:val="1"/>
        <w:numFmt w:val="decimal"/>
        <w:pStyle w:val="Ttulo6"/>
        <w:lvlText w:val="%1.%2.%3.%4.%5.%6"/>
        <w:legacy w:legacy="1" w:legacySpace="144" w:legacyIndent="0"/>
        <w:lvlJc w:val="left"/>
      </w:lvl>
    </w:lvlOverride>
    <w:lvlOverride w:ilvl="6">
      <w:lvl w:ilvl="6">
        <w:start w:val="1"/>
        <w:numFmt w:val="decimal"/>
        <w:pStyle w:val="Ttulo7"/>
        <w:lvlText w:val="%1.%2.%3.%4.%5.%6.%7"/>
        <w:legacy w:legacy="1" w:legacySpace="144" w:legacyIndent="0"/>
        <w:lvlJc w:val="left"/>
      </w:lvl>
    </w:lvlOverride>
    <w:lvlOverride w:ilvl="7">
      <w:lvl w:ilvl="7">
        <w:start w:val="1"/>
        <w:numFmt w:val="decimal"/>
        <w:pStyle w:val="Ttulo8"/>
        <w:lvlText w:val="%1.%2.%3.%4.%5.%6.%7.%8"/>
        <w:legacy w:legacy="1" w:legacySpace="144" w:legacyIndent="0"/>
        <w:lvlJc w:val="left"/>
      </w:lvl>
    </w:lvlOverride>
    <w:lvlOverride w:ilvl="8">
      <w:lvl w:ilvl="8">
        <w:start w:val="1"/>
        <w:numFmt w:val="decimal"/>
        <w:pStyle w:val="Ttulo9"/>
        <w:lvlText w:val="%1.%2.%3.%4.%5.%6.%7.%8.%9"/>
        <w:legacy w:legacy="1" w:legacySpace="144" w:legacyIndent="0"/>
        <w:lvlJc w:val="left"/>
      </w:lvl>
    </w:lvlOverride>
  </w:num>
  <w:num w:numId="28">
    <w:abstractNumId w:val="0"/>
    <w:lvlOverride w:ilvl="0">
      <w:lvl w:ilvl="0">
        <w:start w:val="1"/>
        <w:numFmt w:val="decimal"/>
        <w:pStyle w:val="Ttulo1"/>
        <w:lvlText w:val="%1."/>
        <w:legacy w:legacy="1" w:legacySpace="0" w:legacyIndent="0"/>
        <w:lvlJc w:val="left"/>
      </w:lvl>
    </w:lvlOverride>
    <w:lvlOverride w:ilvl="1">
      <w:lvl w:ilvl="1">
        <w:start w:val="1"/>
        <w:numFmt w:val="decimal"/>
        <w:pStyle w:val="Ttulo2"/>
        <w:lvlText w:val="%1.%2"/>
        <w:legacy w:legacy="1" w:legacySpace="144" w:legacyIndent="0"/>
        <w:lvlJc w:val="left"/>
      </w:lvl>
    </w:lvlOverride>
    <w:lvlOverride w:ilvl="2">
      <w:lvl w:ilvl="2">
        <w:start w:val="1"/>
        <w:numFmt w:val="decimal"/>
        <w:pStyle w:val="Ttulo3"/>
        <w:lvlText w:val="%1.%2.%3"/>
        <w:legacy w:legacy="1" w:legacySpace="144" w:legacyIndent="0"/>
        <w:lvlJc w:val="left"/>
      </w:lvl>
    </w:lvlOverride>
    <w:lvlOverride w:ilvl="3">
      <w:lvl w:ilvl="3">
        <w:start w:val="1"/>
        <w:numFmt w:val="decimal"/>
        <w:pStyle w:val="Ttulo4"/>
        <w:lvlText w:val="%1.%2.%3.%4"/>
        <w:legacy w:legacy="1" w:legacySpace="144" w:legacyIndent="0"/>
        <w:lvlJc w:val="left"/>
      </w:lvl>
    </w:lvlOverride>
    <w:lvlOverride w:ilvl="4">
      <w:lvl w:ilvl="4">
        <w:start w:val="1"/>
        <w:numFmt w:val="decimal"/>
        <w:pStyle w:val="Ttulo5"/>
        <w:lvlText w:val="%1.%2.%3.%4.%5"/>
        <w:legacy w:legacy="1" w:legacySpace="144" w:legacyIndent="0"/>
        <w:lvlJc w:val="left"/>
      </w:lvl>
    </w:lvlOverride>
    <w:lvlOverride w:ilvl="5">
      <w:lvl w:ilvl="5">
        <w:start w:val="1"/>
        <w:numFmt w:val="decimal"/>
        <w:pStyle w:val="Ttulo6"/>
        <w:lvlText w:val="%1.%2.%3.%4.%5.%6"/>
        <w:legacy w:legacy="1" w:legacySpace="144" w:legacyIndent="0"/>
        <w:lvlJc w:val="left"/>
      </w:lvl>
    </w:lvlOverride>
    <w:lvlOverride w:ilvl="6">
      <w:lvl w:ilvl="6">
        <w:start w:val="1"/>
        <w:numFmt w:val="decimal"/>
        <w:pStyle w:val="Ttulo7"/>
        <w:lvlText w:val="%1.%2.%3.%4.%5.%6.%7"/>
        <w:legacy w:legacy="1" w:legacySpace="144" w:legacyIndent="0"/>
        <w:lvlJc w:val="left"/>
      </w:lvl>
    </w:lvlOverride>
    <w:lvlOverride w:ilvl="7">
      <w:lvl w:ilvl="7">
        <w:start w:val="1"/>
        <w:numFmt w:val="decimal"/>
        <w:pStyle w:val="Ttulo8"/>
        <w:lvlText w:val="%1.%2.%3.%4.%5.%6.%7.%8"/>
        <w:legacy w:legacy="1" w:legacySpace="144" w:legacyIndent="0"/>
        <w:lvlJc w:val="left"/>
      </w:lvl>
    </w:lvlOverride>
    <w:lvlOverride w:ilvl="8">
      <w:lvl w:ilvl="8">
        <w:start w:val="1"/>
        <w:numFmt w:val="decimal"/>
        <w:pStyle w:val="Ttulo9"/>
        <w:lvlText w:val="%1.%2.%3.%4.%5.%6.%7.%8.%9"/>
        <w:legacy w:legacy="1" w:legacySpace="144" w:legacyIndent="0"/>
        <w:lvlJc w:val="left"/>
      </w:lvl>
    </w:lvlOverride>
  </w:num>
  <w:num w:numId="29">
    <w:abstractNumId w:val="0"/>
    <w:lvlOverride w:ilvl="0">
      <w:lvl w:ilvl="0">
        <w:start w:val="1"/>
        <w:numFmt w:val="decimal"/>
        <w:pStyle w:val="Ttulo1"/>
        <w:lvlText w:val="%1."/>
        <w:legacy w:legacy="1" w:legacySpace="0" w:legacyIndent="0"/>
        <w:lvlJc w:val="left"/>
      </w:lvl>
    </w:lvlOverride>
    <w:lvlOverride w:ilvl="1">
      <w:lvl w:ilvl="1">
        <w:start w:val="1"/>
        <w:numFmt w:val="decimal"/>
        <w:pStyle w:val="Ttulo2"/>
        <w:lvlText w:val="%1.%2"/>
        <w:legacy w:legacy="1" w:legacySpace="144" w:legacyIndent="0"/>
        <w:lvlJc w:val="left"/>
      </w:lvl>
    </w:lvlOverride>
    <w:lvlOverride w:ilvl="2">
      <w:lvl w:ilvl="2">
        <w:start w:val="1"/>
        <w:numFmt w:val="decimal"/>
        <w:pStyle w:val="Ttulo3"/>
        <w:lvlText w:val="%1.%2.%3"/>
        <w:legacy w:legacy="1" w:legacySpace="144" w:legacyIndent="0"/>
        <w:lvlJc w:val="left"/>
      </w:lvl>
    </w:lvlOverride>
    <w:lvlOverride w:ilvl="3">
      <w:lvl w:ilvl="3">
        <w:start w:val="1"/>
        <w:numFmt w:val="decimal"/>
        <w:pStyle w:val="Ttulo4"/>
        <w:lvlText w:val="%1.%2.%3.%4"/>
        <w:legacy w:legacy="1" w:legacySpace="144" w:legacyIndent="0"/>
        <w:lvlJc w:val="left"/>
      </w:lvl>
    </w:lvlOverride>
    <w:lvlOverride w:ilvl="4">
      <w:lvl w:ilvl="4">
        <w:start w:val="1"/>
        <w:numFmt w:val="decimal"/>
        <w:pStyle w:val="Ttulo5"/>
        <w:lvlText w:val="%1.%2.%3.%4.%5"/>
        <w:legacy w:legacy="1" w:legacySpace="144" w:legacyIndent="0"/>
        <w:lvlJc w:val="left"/>
      </w:lvl>
    </w:lvlOverride>
    <w:lvlOverride w:ilvl="5">
      <w:lvl w:ilvl="5">
        <w:start w:val="1"/>
        <w:numFmt w:val="decimal"/>
        <w:pStyle w:val="Ttulo6"/>
        <w:lvlText w:val="%1.%2.%3.%4.%5.%6"/>
        <w:legacy w:legacy="1" w:legacySpace="144" w:legacyIndent="0"/>
        <w:lvlJc w:val="left"/>
      </w:lvl>
    </w:lvlOverride>
    <w:lvlOverride w:ilvl="6">
      <w:lvl w:ilvl="6">
        <w:start w:val="1"/>
        <w:numFmt w:val="decimal"/>
        <w:pStyle w:val="Ttulo7"/>
        <w:lvlText w:val="%1.%2.%3.%4.%5.%6.%7"/>
        <w:legacy w:legacy="1" w:legacySpace="144" w:legacyIndent="0"/>
        <w:lvlJc w:val="left"/>
      </w:lvl>
    </w:lvlOverride>
    <w:lvlOverride w:ilvl="7">
      <w:lvl w:ilvl="7">
        <w:start w:val="1"/>
        <w:numFmt w:val="decimal"/>
        <w:pStyle w:val="Ttulo8"/>
        <w:lvlText w:val="%1.%2.%3.%4.%5.%6.%7.%8"/>
        <w:legacy w:legacy="1" w:legacySpace="144" w:legacyIndent="0"/>
        <w:lvlJc w:val="left"/>
      </w:lvl>
    </w:lvlOverride>
    <w:lvlOverride w:ilvl="8">
      <w:lvl w:ilvl="8">
        <w:start w:val="1"/>
        <w:numFmt w:val="decimal"/>
        <w:pStyle w:val="Ttulo9"/>
        <w:lvlText w:val="%1.%2.%3.%4.%5.%6.%7.%8.%9"/>
        <w:legacy w:legacy="1" w:legacySpace="144" w:legacyIndent="0"/>
        <w:lvlJc w:val="left"/>
      </w:lvl>
    </w:lvlOverride>
  </w:num>
  <w:num w:numId="30">
    <w:abstractNumId w:val="0"/>
    <w:lvlOverride w:ilvl="0">
      <w:lvl w:ilvl="0">
        <w:start w:val="1"/>
        <w:numFmt w:val="decimal"/>
        <w:pStyle w:val="Ttulo1"/>
        <w:lvlText w:val="%1."/>
        <w:legacy w:legacy="1" w:legacySpace="0" w:legacyIndent="0"/>
        <w:lvlJc w:val="left"/>
      </w:lvl>
    </w:lvlOverride>
    <w:lvlOverride w:ilvl="1">
      <w:lvl w:ilvl="1">
        <w:start w:val="1"/>
        <w:numFmt w:val="decimal"/>
        <w:pStyle w:val="Ttulo2"/>
        <w:lvlText w:val="%1.%2"/>
        <w:legacy w:legacy="1" w:legacySpace="144" w:legacyIndent="0"/>
        <w:lvlJc w:val="left"/>
      </w:lvl>
    </w:lvlOverride>
    <w:lvlOverride w:ilvl="2">
      <w:lvl w:ilvl="2">
        <w:start w:val="1"/>
        <w:numFmt w:val="decimal"/>
        <w:pStyle w:val="Ttulo3"/>
        <w:lvlText w:val="%1.%2.%3"/>
        <w:legacy w:legacy="1" w:legacySpace="144" w:legacyIndent="0"/>
        <w:lvlJc w:val="left"/>
      </w:lvl>
    </w:lvlOverride>
    <w:lvlOverride w:ilvl="3">
      <w:lvl w:ilvl="3">
        <w:start w:val="1"/>
        <w:numFmt w:val="decimal"/>
        <w:pStyle w:val="Ttulo4"/>
        <w:lvlText w:val="%1.%2.%3.%4"/>
        <w:legacy w:legacy="1" w:legacySpace="144" w:legacyIndent="0"/>
        <w:lvlJc w:val="left"/>
      </w:lvl>
    </w:lvlOverride>
    <w:lvlOverride w:ilvl="4">
      <w:lvl w:ilvl="4">
        <w:start w:val="1"/>
        <w:numFmt w:val="decimal"/>
        <w:pStyle w:val="Ttulo5"/>
        <w:lvlText w:val="%1.%2.%3.%4.%5"/>
        <w:legacy w:legacy="1" w:legacySpace="144" w:legacyIndent="0"/>
        <w:lvlJc w:val="left"/>
      </w:lvl>
    </w:lvlOverride>
    <w:lvlOverride w:ilvl="5">
      <w:lvl w:ilvl="5">
        <w:start w:val="1"/>
        <w:numFmt w:val="decimal"/>
        <w:pStyle w:val="Ttulo6"/>
        <w:lvlText w:val="%1.%2.%3.%4.%5.%6"/>
        <w:legacy w:legacy="1" w:legacySpace="144" w:legacyIndent="0"/>
        <w:lvlJc w:val="left"/>
      </w:lvl>
    </w:lvlOverride>
    <w:lvlOverride w:ilvl="6">
      <w:lvl w:ilvl="6">
        <w:start w:val="1"/>
        <w:numFmt w:val="decimal"/>
        <w:pStyle w:val="Ttulo7"/>
        <w:lvlText w:val="%1.%2.%3.%4.%5.%6.%7"/>
        <w:legacy w:legacy="1" w:legacySpace="144" w:legacyIndent="0"/>
        <w:lvlJc w:val="left"/>
      </w:lvl>
    </w:lvlOverride>
    <w:lvlOverride w:ilvl="7">
      <w:lvl w:ilvl="7">
        <w:start w:val="1"/>
        <w:numFmt w:val="decimal"/>
        <w:pStyle w:val="Ttulo8"/>
        <w:lvlText w:val="%1.%2.%3.%4.%5.%6.%7.%8"/>
        <w:legacy w:legacy="1" w:legacySpace="144" w:legacyIndent="0"/>
        <w:lvlJc w:val="left"/>
      </w:lvl>
    </w:lvlOverride>
    <w:lvlOverride w:ilvl="8">
      <w:lvl w:ilvl="8">
        <w:start w:val="1"/>
        <w:numFmt w:val="decimal"/>
        <w:pStyle w:val="Ttulo9"/>
        <w:lvlText w:val="%1.%2.%3.%4.%5.%6.%7.%8.%9"/>
        <w:legacy w:legacy="1" w:legacySpace="144" w:legacyIndent="0"/>
        <w:lvlJc w:val="left"/>
      </w:lvl>
    </w:lvlOverride>
  </w:num>
  <w:num w:numId="31">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32">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33">
    <w:abstractNumId w:val="0"/>
    <w:lvlOverride w:ilvl="0">
      <w:lvl w:ilvl="0">
        <w:start w:val="1"/>
        <w:numFmt w:val="decimal"/>
        <w:pStyle w:val="Ttulo1"/>
        <w:lvlText w:val="%1."/>
        <w:legacy w:legacy="1" w:legacySpace="0" w:legacyIndent="0"/>
        <w:lvlJc w:val="left"/>
      </w:lvl>
    </w:lvlOverride>
    <w:lvlOverride w:ilvl="1">
      <w:lvl w:ilvl="1">
        <w:start w:val="1"/>
        <w:numFmt w:val="decimal"/>
        <w:pStyle w:val="Ttulo2"/>
        <w:lvlText w:val="%1.%2"/>
        <w:legacy w:legacy="1" w:legacySpace="144" w:legacyIndent="0"/>
        <w:lvlJc w:val="left"/>
      </w:lvl>
    </w:lvlOverride>
    <w:lvlOverride w:ilvl="2">
      <w:lvl w:ilvl="2">
        <w:start w:val="1"/>
        <w:numFmt w:val="decimal"/>
        <w:pStyle w:val="Ttulo3"/>
        <w:lvlText w:val="%1.%2.%3"/>
        <w:legacy w:legacy="1" w:legacySpace="144" w:legacyIndent="0"/>
        <w:lvlJc w:val="left"/>
      </w:lvl>
    </w:lvlOverride>
    <w:lvlOverride w:ilvl="3">
      <w:lvl w:ilvl="3">
        <w:start w:val="1"/>
        <w:numFmt w:val="decimal"/>
        <w:pStyle w:val="Ttulo4"/>
        <w:lvlText w:val="%1.%2.%3.%4"/>
        <w:legacy w:legacy="1" w:legacySpace="144" w:legacyIndent="0"/>
        <w:lvlJc w:val="left"/>
      </w:lvl>
    </w:lvlOverride>
    <w:lvlOverride w:ilvl="4">
      <w:lvl w:ilvl="4">
        <w:start w:val="1"/>
        <w:numFmt w:val="decimal"/>
        <w:pStyle w:val="Ttulo5"/>
        <w:lvlText w:val="%1.%2.%3.%4.%5"/>
        <w:legacy w:legacy="1" w:legacySpace="144" w:legacyIndent="0"/>
        <w:lvlJc w:val="left"/>
      </w:lvl>
    </w:lvlOverride>
    <w:lvlOverride w:ilvl="5">
      <w:lvl w:ilvl="5">
        <w:start w:val="1"/>
        <w:numFmt w:val="decimal"/>
        <w:pStyle w:val="Ttulo6"/>
        <w:lvlText w:val="%1.%2.%3.%4.%5.%6"/>
        <w:legacy w:legacy="1" w:legacySpace="144" w:legacyIndent="0"/>
        <w:lvlJc w:val="left"/>
      </w:lvl>
    </w:lvlOverride>
    <w:lvlOverride w:ilvl="6">
      <w:lvl w:ilvl="6">
        <w:start w:val="1"/>
        <w:numFmt w:val="decimal"/>
        <w:pStyle w:val="Ttulo7"/>
        <w:lvlText w:val="%1.%2.%3.%4.%5.%6.%7"/>
        <w:legacy w:legacy="1" w:legacySpace="144" w:legacyIndent="0"/>
        <w:lvlJc w:val="left"/>
      </w:lvl>
    </w:lvlOverride>
    <w:lvlOverride w:ilvl="7">
      <w:lvl w:ilvl="7">
        <w:start w:val="1"/>
        <w:numFmt w:val="decimal"/>
        <w:pStyle w:val="Ttulo8"/>
        <w:lvlText w:val="%1.%2.%3.%4.%5.%6.%7.%8"/>
        <w:legacy w:legacy="1" w:legacySpace="144" w:legacyIndent="0"/>
        <w:lvlJc w:val="left"/>
      </w:lvl>
    </w:lvlOverride>
    <w:lvlOverride w:ilvl="8">
      <w:lvl w:ilvl="8">
        <w:start w:val="1"/>
        <w:numFmt w:val="decimal"/>
        <w:pStyle w:val="Ttulo9"/>
        <w:lvlText w:val="%1.%2.%3.%4.%5.%6.%7.%8.%9"/>
        <w:legacy w:legacy="1" w:legacySpace="144" w:legacyIndent="0"/>
        <w:lvlJc w:val="left"/>
      </w:lvl>
    </w:lvlOverride>
  </w:num>
  <w:num w:numId="34">
    <w:abstractNumId w:val="0"/>
    <w:lvlOverride w:ilvl="0">
      <w:lvl w:ilvl="0">
        <w:start w:val="1"/>
        <w:numFmt w:val="decimal"/>
        <w:pStyle w:val="Ttulo1"/>
        <w:lvlText w:val="%1."/>
        <w:legacy w:legacy="1" w:legacySpace="0" w:legacyIndent="0"/>
        <w:lvlJc w:val="left"/>
      </w:lvl>
    </w:lvlOverride>
    <w:lvlOverride w:ilvl="1">
      <w:lvl w:ilvl="1">
        <w:start w:val="1"/>
        <w:numFmt w:val="decimal"/>
        <w:pStyle w:val="Ttulo2"/>
        <w:lvlText w:val="%1.%2"/>
        <w:legacy w:legacy="1" w:legacySpace="144" w:legacyIndent="0"/>
        <w:lvlJc w:val="left"/>
      </w:lvl>
    </w:lvlOverride>
    <w:lvlOverride w:ilvl="2">
      <w:lvl w:ilvl="2">
        <w:start w:val="1"/>
        <w:numFmt w:val="decimal"/>
        <w:pStyle w:val="Ttulo3"/>
        <w:lvlText w:val="%1.%2.%3"/>
        <w:legacy w:legacy="1" w:legacySpace="144" w:legacyIndent="0"/>
        <w:lvlJc w:val="left"/>
      </w:lvl>
    </w:lvlOverride>
    <w:lvlOverride w:ilvl="3">
      <w:lvl w:ilvl="3">
        <w:start w:val="1"/>
        <w:numFmt w:val="decimal"/>
        <w:pStyle w:val="Ttulo4"/>
        <w:lvlText w:val="%1.%2.%3.%4"/>
        <w:legacy w:legacy="1" w:legacySpace="144" w:legacyIndent="0"/>
        <w:lvlJc w:val="left"/>
      </w:lvl>
    </w:lvlOverride>
    <w:lvlOverride w:ilvl="4">
      <w:lvl w:ilvl="4">
        <w:start w:val="1"/>
        <w:numFmt w:val="decimal"/>
        <w:pStyle w:val="Ttulo5"/>
        <w:lvlText w:val="%1.%2.%3.%4.%5"/>
        <w:legacy w:legacy="1" w:legacySpace="144" w:legacyIndent="0"/>
        <w:lvlJc w:val="left"/>
      </w:lvl>
    </w:lvlOverride>
    <w:lvlOverride w:ilvl="5">
      <w:lvl w:ilvl="5">
        <w:start w:val="1"/>
        <w:numFmt w:val="decimal"/>
        <w:pStyle w:val="Ttulo6"/>
        <w:lvlText w:val="%1.%2.%3.%4.%5.%6"/>
        <w:legacy w:legacy="1" w:legacySpace="144" w:legacyIndent="0"/>
        <w:lvlJc w:val="left"/>
      </w:lvl>
    </w:lvlOverride>
    <w:lvlOverride w:ilvl="6">
      <w:lvl w:ilvl="6">
        <w:start w:val="1"/>
        <w:numFmt w:val="decimal"/>
        <w:pStyle w:val="Ttulo7"/>
        <w:lvlText w:val="%1.%2.%3.%4.%5.%6.%7"/>
        <w:legacy w:legacy="1" w:legacySpace="144" w:legacyIndent="0"/>
        <w:lvlJc w:val="left"/>
      </w:lvl>
    </w:lvlOverride>
    <w:lvlOverride w:ilvl="7">
      <w:lvl w:ilvl="7">
        <w:start w:val="1"/>
        <w:numFmt w:val="decimal"/>
        <w:pStyle w:val="Ttulo8"/>
        <w:lvlText w:val="%1.%2.%3.%4.%5.%6.%7.%8"/>
        <w:legacy w:legacy="1" w:legacySpace="144" w:legacyIndent="0"/>
        <w:lvlJc w:val="left"/>
      </w:lvl>
    </w:lvlOverride>
    <w:lvlOverride w:ilvl="8">
      <w:lvl w:ilvl="8">
        <w:start w:val="1"/>
        <w:numFmt w:val="decimal"/>
        <w:pStyle w:val="Ttulo9"/>
        <w:lvlText w:val="%1.%2.%3.%4.%5.%6.%7.%8.%9"/>
        <w:legacy w:legacy="1" w:legacySpace="144" w:legacyIndent="0"/>
        <w:lvlJc w:val="left"/>
      </w:lvl>
    </w:lvlOverride>
  </w:num>
  <w:num w:numId="35">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36">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37">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38">
    <w:abstractNumId w:val="0"/>
    <w:lvlOverride w:ilvl="0">
      <w:lvl w:ilvl="0">
        <w:start w:val="1"/>
        <w:numFmt w:val="decimal"/>
        <w:pStyle w:val="Ttulo1"/>
        <w:lvlText w:val="%1."/>
        <w:legacy w:legacy="1" w:legacySpace="0" w:legacyIndent="0"/>
        <w:lvlJc w:val="left"/>
      </w:lvl>
    </w:lvlOverride>
    <w:lvlOverride w:ilvl="1">
      <w:lvl w:ilvl="1">
        <w:start w:val="1"/>
        <w:numFmt w:val="decimal"/>
        <w:pStyle w:val="Ttulo2"/>
        <w:lvlText w:val="%1.%2"/>
        <w:legacy w:legacy="1" w:legacySpace="144" w:legacyIndent="0"/>
        <w:lvlJc w:val="left"/>
      </w:lvl>
    </w:lvlOverride>
    <w:lvlOverride w:ilvl="2">
      <w:lvl w:ilvl="2">
        <w:start w:val="1"/>
        <w:numFmt w:val="decimal"/>
        <w:pStyle w:val="Ttulo3"/>
        <w:lvlText w:val="%1.%2.%3"/>
        <w:legacy w:legacy="1" w:legacySpace="144" w:legacyIndent="0"/>
        <w:lvlJc w:val="left"/>
      </w:lvl>
    </w:lvlOverride>
    <w:lvlOverride w:ilvl="3">
      <w:lvl w:ilvl="3">
        <w:start w:val="1"/>
        <w:numFmt w:val="decimal"/>
        <w:pStyle w:val="Ttulo4"/>
        <w:lvlText w:val="%1.%2.%3.%4"/>
        <w:legacy w:legacy="1" w:legacySpace="144" w:legacyIndent="0"/>
        <w:lvlJc w:val="left"/>
      </w:lvl>
    </w:lvlOverride>
    <w:lvlOverride w:ilvl="4">
      <w:lvl w:ilvl="4">
        <w:start w:val="1"/>
        <w:numFmt w:val="decimal"/>
        <w:pStyle w:val="Ttulo5"/>
        <w:lvlText w:val="%1.%2.%3.%4.%5"/>
        <w:legacy w:legacy="1" w:legacySpace="144" w:legacyIndent="0"/>
        <w:lvlJc w:val="left"/>
      </w:lvl>
    </w:lvlOverride>
    <w:lvlOverride w:ilvl="5">
      <w:lvl w:ilvl="5">
        <w:start w:val="1"/>
        <w:numFmt w:val="decimal"/>
        <w:pStyle w:val="Ttulo6"/>
        <w:lvlText w:val="%1.%2.%3.%4.%5.%6"/>
        <w:legacy w:legacy="1" w:legacySpace="144" w:legacyIndent="0"/>
        <w:lvlJc w:val="left"/>
      </w:lvl>
    </w:lvlOverride>
    <w:lvlOverride w:ilvl="6">
      <w:lvl w:ilvl="6">
        <w:start w:val="1"/>
        <w:numFmt w:val="decimal"/>
        <w:pStyle w:val="Ttulo7"/>
        <w:lvlText w:val="%1.%2.%3.%4.%5.%6.%7"/>
        <w:legacy w:legacy="1" w:legacySpace="144" w:legacyIndent="0"/>
        <w:lvlJc w:val="left"/>
      </w:lvl>
    </w:lvlOverride>
    <w:lvlOverride w:ilvl="7">
      <w:lvl w:ilvl="7">
        <w:start w:val="1"/>
        <w:numFmt w:val="decimal"/>
        <w:pStyle w:val="Ttulo8"/>
        <w:lvlText w:val="%1.%2.%3.%4.%5.%6.%7.%8"/>
        <w:legacy w:legacy="1" w:legacySpace="144" w:legacyIndent="0"/>
        <w:lvlJc w:val="left"/>
      </w:lvl>
    </w:lvlOverride>
    <w:lvlOverride w:ilvl="8">
      <w:lvl w:ilvl="8">
        <w:start w:val="1"/>
        <w:numFmt w:val="decimal"/>
        <w:pStyle w:val="Ttulo9"/>
        <w:lvlText w:val="%1.%2.%3.%4.%5.%6.%7.%8.%9"/>
        <w:legacy w:legacy="1" w:legacySpace="144" w:legacyIndent="0"/>
        <w:lvlJc w:val="left"/>
      </w:lvl>
    </w:lvlOverride>
  </w:num>
  <w:num w:numId="39">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40">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41">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42">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43">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44">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45">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46">
    <w:abstractNumId w:val="0"/>
    <w:lvlOverride w:ilvl="0">
      <w:lvl w:ilvl="0">
        <w:start w:val="1"/>
        <w:numFmt w:val="decimal"/>
        <w:pStyle w:val="Ttulo1"/>
        <w:lvlText w:val="%1."/>
        <w:legacy w:legacy="1" w:legacySpace="0" w:legacyIndent="0"/>
        <w:lvlJc w:val="left"/>
      </w:lvl>
    </w:lvlOverride>
    <w:lvlOverride w:ilvl="1">
      <w:lvl w:ilvl="1">
        <w:start w:val="1"/>
        <w:numFmt w:val="decimal"/>
        <w:pStyle w:val="Ttulo2"/>
        <w:lvlText w:val="%1.%2"/>
        <w:legacy w:legacy="1" w:legacySpace="144" w:legacyIndent="0"/>
        <w:lvlJc w:val="left"/>
      </w:lvl>
    </w:lvlOverride>
    <w:lvlOverride w:ilvl="2">
      <w:lvl w:ilvl="2">
        <w:start w:val="1"/>
        <w:numFmt w:val="decimal"/>
        <w:pStyle w:val="Ttulo3"/>
        <w:lvlText w:val="%1.%2.%3"/>
        <w:legacy w:legacy="1" w:legacySpace="144" w:legacyIndent="0"/>
        <w:lvlJc w:val="left"/>
      </w:lvl>
    </w:lvlOverride>
    <w:lvlOverride w:ilvl="3">
      <w:lvl w:ilvl="3">
        <w:start w:val="1"/>
        <w:numFmt w:val="decimal"/>
        <w:pStyle w:val="Ttulo4"/>
        <w:lvlText w:val="%1.%2.%3.%4"/>
        <w:legacy w:legacy="1" w:legacySpace="144" w:legacyIndent="0"/>
        <w:lvlJc w:val="left"/>
      </w:lvl>
    </w:lvlOverride>
    <w:lvlOverride w:ilvl="4">
      <w:lvl w:ilvl="4">
        <w:start w:val="1"/>
        <w:numFmt w:val="decimal"/>
        <w:pStyle w:val="Ttulo5"/>
        <w:lvlText w:val="%1.%2.%3.%4.%5"/>
        <w:legacy w:legacy="1" w:legacySpace="144" w:legacyIndent="0"/>
        <w:lvlJc w:val="left"/>
      </w:lvl>
    </w:lvlOverride>
    <w:lvlOverride w:ilvl="5">
      <w:lvl w:ilvl="5">
        <w:start w:val="1"/>
        <w:numFmt w:val="decimal"/>
        <w:pStyle w:val="Ttulo6"/>
        <w:lvlText w:val="%1.%2.%3.%4.%5.%6"/>
        <w:legacy w:legacy="1" w:legacySpace="144" w:legacyIndent="0"/>
        <w:lvlJc w:val="left"/>
      </w:lvl>
    </w:lvlOverride>
    <w:lvlOverride w:ilvl="6">
      <w:lvl w:ilvl="6">
        <w:start w:val="1"/>
        <w:numFmt w:val="decimal"/>
        <w:pStyle w:val="Ttulo7"/>
        <w:lvlText w:val="%1.%2.%3.%4.%5.%6.%7"/>
        <w:legacy w:legacy="1" w:legacySpace="144" w:legacyIndent="0"/>
        <w:lvlJc w:val="left"/>
      </w:lvl>
    </w:lvlOverride>
    <w:lvlOverride w:ilvl="7">
      <w:lvl w:ilvl="7">
        <w:start w:val="1"/>
        <w:numFmt w:val="decimal"/>
        <w:pStyle w:val="Ttulo8"/>
        <w:lvlText w:val="%1.%2.%3.%4.%5.%6.%7.%8"/>
        <w:legacy w:legacy="1" w:legacySpace="144" w:legacyIndent="0"/>
        <w:lvlJc w:val="left"/>
      </w:lvl>
    </w:lvlOverride>
    <w:lvlOverride w:ilvl="8">
      <w:lvl w:ilvl="8">
        <w:start w:val="1"/>
        <w:numFmt w:val="decimal"/>
        <w:pStyle w:val="Ttulo9"/>
        <w:lvlText w:val="%1.%2.%3.%4.%5.%6.%7.%8.%9"/>
        <w:legacy w:legacy="1" w:legacySpace="144" w:legacyIndent="0"/>
        <w:lvlJc w:val="left"/>
      </w:lvl>
    </w:lvlOverride>
  </w:num>
  <w:num w:numId="47">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48">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49">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50">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51">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52">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53">
    <w:abstractNumId w:val="0"/>
    <w:lvlOverride w:ilvl="0">
      <w:lvl w:ilvl="0">
        <w:start w:val="1"/>
        <w:numFmt w:val="decimal"/>
        <w:pStyle w:val="Ttulo1"/>
        <w:lvlText w:val="%1."/>
        <w:legacy w:legacy="1" w:legacySpace="0" w:legacyIndent="0"/>
        <w:lvlJc w:val="left"/>
      </w:lvl>
    </w:lvlOverride>
    <w:lvlOverride w:ilvl="1">
      <w:lvl w:ilvl="1">
        <w:start w:val="1"/>
        <w:numFmt w:val="decimal"/>
        <w:pStyle w:val="Ttulo2"/>
        <w:lvlText w:val="%1.%2"/>
        <w:legacy w:legacy="1" w:legacySpace="144" w:legacyIndent="0"/>
        <w:lvlJc w:val="left"/>
      </w:lvl>
    </w:lvlOverride>
    <w:lvlOverride w:ilvl="2">
      <w:lvl w:ilvl="2">
        <w:start w:val="1"/>
        <w:numFmt w:val="decimal"/>
        <w:pStyle w:val="Ttulo3"/>
        <w:lvlText w:val="%1.%2.%3"/>
        <w:legacy w:legacy="1" w:legacySpace="144" w:legacyIndent="0"/>
        <w:lvlJc w:val="left"/>
      </w:lvl>
    </w:lvlOverride>
    <w:lvlOverride w:ilvl="3">
      <w:lvl w:ilvl="3">
        <w:start w:val="1"/>
        <w:numFmt w:val="decimal"/>
        <w:pStyle w:val="Ttulo4"/>
        <w:lvlText w:val="%1.%2.%3.%4"/>
        <w:legacy w:legacy="1" w:legacySpace="144" w:legacyIndent="0"/>
        <w:lvlJc w:val="left"/>
      </w:lvl>
    </w:lvlOverride>
    <w:lvlOverride w:ilvl="4">
      <w:lvl w:ilvl="4">
        <w:start w:val="1"/>
        <w:numFmt w:val="decimal"/>
        <w:pStyle w:val="Ttulo5"/>
        <w:lvlText w:val="%1.%2.%3.%4.%5"/>
        <w:legacy w:legacy="1" w:legacySpace="144" w:legacyIndent="0"/>
        <w:lvlJc w:val="left"/>
      </w:lvl>
    </w:lvlOverride>
    <w:lvlOverride w:ilvl="5">
      <w:lvl w:ilvl="5">
        <w:start w:val="1"/>
        <w:numFmt w:val="decimal"/>
        <w:pStyle w:val="Ttulo6"/>
        <w:lvlText w:val="%1.%2.%3.%4.%5.%6"/>
        <w:legacy w:legacy="1" w:legacySpace="144" w:legacyIndent="0"/>
        <w:lvlJc w:val="left"/>
      </w:lvl>
    </w:lvlOverride>
    <w:lvlOverride w:ilvl="6">
      <w:lvl w:ilvl="6">
        <w:start w:val="1"/>
        <w:numFmt w:val="decimal"/>
        <w:pStyle w:val="Ttulo7"/>
        <w:lvlText w:val="%1.%2.%3.%4.%5.%6.%7"/>
        <w:legacy w:legacy="1" w:legacySpace="144" w:legacyIndent="0"/>
        <w:lvlJc w:val="left"/>
      </w:lvl>
    </w:lvlOverride>
    <w:lvlOverride w:ilvl="7">
      <w:lvl w:ilvl="7">
        <w:start w:val="1"/>
        <w:numFmt w:val="decimal"/>
        <w:pStyle w:val="Ttulo8"/>
        <w:lvlText w:val="%1.%2.%3.%4.%5.%6.%7.%8"/>
        <w:legacy w:legacy="1" w:legacySpace="144" w:legacyIndent="0"/>
        <w:lvlJc w:val="left"/>
      </w:lvl>
    </w:lvlOverride>
    <w:lvlOverride w:ilvl="8">
      <w:lvl w:ilvl="8">
        <w:start w:val="1"/>
        <w:numFmt w:val="decimal"/>
        <w:pStyle w:val="Ttulo9"/>
        <w:lvlText w:val="%1.%2.%3.%4.%5.%6.%7.%8.%9"/>
        <w:legacy w:legacy="1" w:legacySpace="144" w:legacyIndent="0"/>
        <w:lvlJc w:val="left"/>
      </w:lvl>
    </w:lvlOverride>
  </w:num>
  <w:num w:numId="54">
    <w:abstractNumId w:val="0"/>
    <w:lvlOverride w:ilvl="0">
      <w:lvl w:ilvl="0">
        <w:start w:val="1"/>
        <w:numFmt w:val="decimal"/>
        <w:pStyle w:val="Ttulo1"/>
        <w:lvlText w:val="%1."/>
        <w:legacy w:legacy="1" w:legacySpace="0" w:legacyIndent="0"/>
        <w:lvlJc w:val="left"/>
      </w:lvl>
    </w:lvlOverride>
    <w:lvlOverride w:ilvl="1">
      <w:lvl w:ilvl="1">
        <w:start w:val="1"/>
        <w:numFmt w:val="decimal"/>
        <w:pStyle w:val="Ttulo2"/>
        <w:lvlText w:val="%1.%2"/>
        <w:legacy w:legacy="1" w:legacySpace="144" w:legacyIndent="0"/>
        <w:lvlJc w:val="left"/>
      </w:lvl>
    </w:lvlOverride>
    <w:lvlOverride w:ilvl="2">
      <w:lvl w:ilvl="2">
        <w:start w:val="1"/>
        <w:numFmt w:val="decimal"/>
        <w:pStyle w:val="Ttulo3"/>
        <w:lvlText w:val="%1.%2.%3"/>
        <w:legacy w:legacy="1" w:legacySpace="144" w:legacyIndent="0"/>
        <w:lvlJc w:val="left"/>
      </w:lvl>
    </w:lvlOverride>
    <w:lvlOverride w:ilvl="3">
      <w:lvl w:ilvl="3">
        <w:start w:val="1"/>
        <w:numFmt w:val="decimal"/>
        <w:pStyle w:val="Ttulo4"/>
        <w:lvlText w:val="%1.%2.%3.%4"/>
        <w:legacy w:legacy="1" w:legacySpace="144" w:legacyIndent="0"/>
        <w:lvlJc w:val="left"/>
      </w:lvl>
    </w:lvlOverride>
    <w:lvlOverride w:ilvl="4">
      <w:lvl w:ilvl="4">
        <w:start w:val="1"/>
        <w:numFmt w:val="decimal"/>
        <w:pStyle w:val="Ttulo5"/>
        <w:lvlText w:val="%1.%2.%3.%4.%5"/>
        <w:legacy w:legacy="1" w:legacySpace="144" w:legacyIndent="0"/>
        <w:lvlJc w:val="left"/>
      </w:lvl>
    </w:lvlOverride>
    <w:lvlOverride w:ilvl="5">
      <w:lvl w:ilvl="5">
        <w:start w:val="1"/>
        <w:numFmt w:val="decimal"/>
        <w:pStyle w:val="Ttulo6"/>
        <w:lvlText w:val="%1.%2.%3.%4.%5.%6"/>
        <w:legacy w:legacy="1" w:legacySpace="144" w:legacyIndent="0"/>
        <w:lvlJc w:val="left"/>
      </w:lvl>
    </w:lvlOverride>
    <w:lvlOverride w:ilvl="6">
      <w:lvl w:ilvl="6">
        <w:start w:val="1"/>
        <w:numFmt w:val="decimal"/>
        <w:pStyle w:val="Ttulo7"/>
        <w:lvlText w:val="%1.%2.%3.%4.%5.%6.%7"/>
        <w:legacy w:legacy="1" w:legacySpace="144" w:legacyIndent="0"/>
        <w:lvlJc w:val="left"/>
      </w:lvl>
    </w:lvlOverride>
    <w:lvlOverride w:ilvl="7">
      <w:lvl w:ilvl="7">
        <w:start w:val="1"/>
        <w:numFmt w:val="decimal"/>
        <w:pStyle w:val="Ttulo8"/>
        <w:lvlText w:val="%1.%2.%3.%4.%5.%6.%7.%8"/>
        <w:legacy w:legacy="1" w:legacySpace="144" w:legacyIndent="0"/>
        <w:lvlJc w:val="left"/>
      </w:lvl>
    </w:lvlOverride>
    <w:lvlOverride w:ilvl="8">
      <w:lvl w:ilvl="8">
        <w:start w:val="1"/>
        <w:numFmt w:val="decimal"/>
        <w:pStyle w:val="Ttulo9"/>
        <w:lvlText w:val="%1.%2.%3.%4.%5.%6.%7.%8.%9"/>
        <w:legacy w:legacy="1" w:legacySpace="144" w:legacyIndent="0"/>
        <w:lvlJc w:val="left"/>
      </w:lvl>
    </w:lvlOverride>
  </w:num>
  <w:num w:numId="55">
    <w:abstractNumId w:val="0"/>
    <w:lvlOverride w:ilvl="0">
      <w:lvl w:ilvl="0">
        <w:start w:val="1"/>
        <w:numFmt w:val="decimal"/>
        <w:pStyle w:val="Ttulo1"/>
        <w:lvlText w:val="%1."/>
        <w:legacy w:legacy="1" w:legacySpace="0" w:legacyIndent="0"/>
        <w:lvlJc w:val="left"/>
      </w:lvl>
    </w:lvlOverride>
    <w:lvlOverride w:ilvl="1">
      <w:lvl w:ilvl="1">
        <w:start w:val="1"/>
        <w:numFmt w:val="decimal"/>
        <w:pStyle w:val="Ttulo2"/>
        <w:lvlText w:val="%1.%2"/>
        <w:legacy w:legacy="1" w:legacySpace="144" w:legacyIndent="0"/>
        <w:lvlJc w:val="left"/>
      </w:lvl>
    </w:lvlOverride>
    <w:lvlOverride w:ilvl="2">
      <w:lvl w:ilvl="2">
        <w:start w:val="1"/>
        <w:numFmt w:val="decimal"/>
        <w:pStyle w:val="Ttulo3"/>
        <w:lvlText w:val="%1.%2.%3"/>
        <w:legacy w:legacy="1" w:legacySpace="144" w:legacyIndent="0"/>
        <w:lvlJc w:val="left"/>
      </w:lvl>
    </w:lvlOverride>
    <w:lvlOverride w:ilvl="3">
      <w:lvl w:ilvl="3">
        <w:start w:val="1"/>
        <w:numFmt w:val="decimal"/>
        <w:pStyle w:val="Ttulo4"/>
        <w:lvlText w:val="%1.%2.%3.%4"/>
        <w:legacy w:legacy="1" w:legacySpace="144" w:legacyIndent="0"/>
        <w:lvlJc w:val="left"/>
      </w:lvl>
    </w:lvlOverride>
    <w:lvlOverride w:ilvl="4">
      <w:lvl w:ilvl="4">
        <w:start w:val="1"/>
        <w:numFmt w:val="decimal"/>
        <w:pStyle w:val="Ttulo5"/>
        <w:lvlText w:val="%1.%2.%3.%4.%5"/>
        <w:legacy w:legacy="1" w:legacySpace="144" w:legacyIndent="0"/>
        <w:lvlJc w:val="left"/>
      </w:lvl>
    </w:lvlOverride>
    <w:lvlOverride w:ilvl="5">
      <w:lvl w:ilvl="5">
        <w:start w:val="1"/>
        <w:numFmt w:val="decimal"/>
        <w:pStyle w:val="Ttulo6"/>
        <w:lvlText w:val="%1.%2.%3.%4.%5.%6"/>
        <w:legacy w:legacy="1" w:legacySpace="144" w:legacyIndent="0"/>
        <w:lvlJc w:val="left"/>
      </w:lvl>
    </w:lvlOverride>
    <w:lvlOverride w:ilvl="6">
      <w:lvl w:ilvl="6">
        <w:start w:val="1"/>
        <w:numFmt w:val="decimal"/>
        <w:pStyle w:val="Ttulo7"/>
        <w:lvlText w:val="%1.%2.%3.%4.%5.%6.%7"/>
        <w:legacy w:legacy="1" w:legacySpace="144" w:legacyIndent="0"/>
        <w:lvlJc w:val="left"/>
      </w:lvl>
    </w:lvlOverride>
    <w:lvlOverride w:ilvl="7">
      <w:lvl w:ilvl="7">
        <w:start w:val="1"/>
        <w:numFmt w:val="decimal"/>
        <w:pStyle w:val="Ttulo8"/>
        <w:lvlText w:val="%1.%2.%3.%4.%5.%6.%7.%8"/>
        <w:legacy w:legacy="1" w:legacySpace="144" w:legacyIndent="0"/>
        <w:lvlJc w:val="left"/>
      </w:lvl>
    </w:lvlOverride>
    <w:lvlOverride w:ilvl="8">
      <w:lvl w:ilvl="8">
        <w:start w:val="1"/>
        <w:numFmt w:val="decimal"/>
        <w:pStyle w:val="Ttulo9"/>
        <w:lvlText w:val="%1.%2.%3.%4.%5.%6.%7.%8.%9"/>
        <w:legacy w:legacy="1" w:legacySpace="144" w:legacyIndent="0"/>
        <w:lvlJc w:val="left"/>
      </w:lvl>
    </w:lvlOverride>
  </w:num>
  <w:num w:numId="56">
    <w:abstractNumId w:val="0"/>
    <w:lvlOverride w:ilvl="0">
      <w:lvl w:ilvl="0">
        <w:start w:val="1"/>
        <w:numFmt w:val="decimal"/>
        <w:pStyle w:val="Ttulo1"/>
        <w:lvlText w:val="%1."/>
        <w:legacy w:legacy="1" w:legacySpace="0" w:legacyIndent="0"/>
        <w:lvlJc w:val="left"/>
      </w:lvl>
    </w:lvlOverride>
    <w:lvlOverride w:ilvl="1">
      <w:lvl w:ilvl="1">
        <w:start w:val="1"/>
        <w:numFmt w:val="decimal"/>
        <w:pStyle w:val="Ttulo2"/>
        <w:lvlText w:val="%1.%2"/>
        <w:legacy w:legacy="1" w:legacySpace="144" w:legacyIndent="0"/>
        <w:lvlJc w:val="left"/>
      </w:lvl>
    </w:lvlOverride>
    <w:lvlOverride w:ilvl="2">
      <w:lvl w:ilvl="2">
        <w:start w:val="1"/>
        <w:numFmt w:val="decimal"/>
        <w:pStyle w:val="Ttulo3"/>
        <w:lvlText w:val="%1.%2.%3"/>
        <w:legacy w:legacy="1" w:legacySpace="144" w:legacyIndent="0"/>
        <w:lvlJc w:val="left"/>
      </w:lvl>
    </w:lvlOverride>
    <w:lvlOverride w:ilvl="3">
      <w:lvl w:ilvl="3">
        <w:start w:val="1"/>
        <w:numFmt w:val="decimal"/>
        <w:pStyle w:val="Ttulo4"/>
        <w:lvlText w:val="%1.%2.%3.%4"/>
        <w:legacy w:legacy="1" w:legacySpace="144" w:legacyIndent="0"/>
        <w:lvlJc w:val="left"/>
      </w:lvl>
    </w:lvlOverride>
    <w:lvlOverride w:ilvl="4">
      <w:lvl w:ilvl="4">
        <w:start w:val="1"/>
        <w:numFmt w:val="decimal"/>
        <w:pStyle w:val="Ttulo5"/>
        <w:lvlText w:val="%1.%2.%3.%4.%5"/>
        <w:legacy w:legacy="1" w:legacySpace="144" w:legacyIndent="0"/>
        <w:lvlJc w:val="left"/>
      </w:lvl>
    </w:lvlOverride>
    <w:lvlOverride w:ilvl="5">
      <w:lvl w:ilvl="5">
        <w:start w:val="1"/>
        <w:numFmt w:val="decimal"/>
        <w:pStyle w:val="Ttulo6"/>
        <w:lvlText w:val="%1.%2.%3.%4.%5.%6"/>
        <w:legacy w:legacy="1" w:legacySpace="144" w:legacyIndent="0"/>
        <w:lvlJc w:val="left"/>
      </w:lvl>
    </w:lvlOverride>
    <w:lvlOverride w:ilvl="6">
      <w:lvl w:ilvl="6">
        <w:start w:val="1"/>
        <w:numFmt w:val="decimal"/>
        <w:pStyle w:val="Ttulo7"/>
        <w:lvlText w:val="%1.%2.%3.%4.%5.%6.%7"/>
        <w:legacy w:legacy="1" w:legacySpace="144" w:legacyIndent="0"/>
        <w:lvlJc w:val="left"/>
      </w:lvl>
    </w:lvlOverride>
    <w:lvlOverride w:ilvl="7">
      <w:lvl w:ilvl="7">
        <w:start w:val="1"/>
        <w:numFmt w:val="decimal"/>
        <w:pStyle w:val="Ttulo8"/>
        <w:lvlText w:val="%1.%2.%3.%4.%5.%6.%7.%8"/>
        <w:legacy w:legacy="1" w:legacySpace="144" w:legacyIndent="0"/>
        <w:lvlJc w:val="left"/>
      </w:lvl>
    </w:lvlOverride>
    <w:lvlOverride w:ilvl="8">
      <w:lvl w:ilvl="8">
        <w:start w:val="1"/>
        <w:numFmt w:val="decimal"/>
        <w:pStyle w:val="Ttulo9"/>
        <w:lvlText w:val="%1.%2.%3.%4.%5.%6.%7.%8.%9"/>
        <w:legacy w:legacy="1" w:legacySpace="144" w:legacyIndent="0"/>
        <w:lvlJc w:val="left"/>
      </w:lvl>
    </w:lvlOverride>
  </w:num>
  <w:num w:numId="57">
    <w:abstractNumId w:val="0"/>
    <w:lvlOverride w:ilvl="0">
      <w:lvl w:ilvl="0">
        <w:start w:val="1"/>
        <w:numFmt w:val="decimal"/>
        <w:pStyle w:val="Ttulo1"/>
        <w:lvlText w:val="%1."/>
        <w:legacy w:legacy="1" w:legacySpace="0" w:legacyIndent="0"/>
        <w:lvlJc w:val="left"/>
      </w:lvl>
    </w:lvlOverride>
    <w:lvlOverride w:ilvl="1">
      <w:lvl w:ilvl="1">
        <w:start w:val="1"/>
        <w:numFmt w:val="decimal"/>
        <w:pStyle w:val="Ttulo2"/>
        <w:lvlText w:val="%1.%2"/>
        <w:legacy w:legacy="1" w:legacySpace="144" w:legacyIndent="0"/>
        <w:lvlJc w:val="left"/>
      </w:lvl>
    </w:lvlOverride>
    <w:lvlOverride w:ilvl="2">
      <w:lvl w:ilvl="2">
        <w:start w:val="1"/>
        <w:numFmt w:val="decimal"/>
        <w:pStyle w:val="Ttulo3"/>
        <w:lvlText w:val="%1.%2.%3"/>
        <w:legacy w:legacy="1" w:legacySpace="144" w:legacyIndent="0"/>
        <w:lvlJc w:val="left"/>
      </w:lvl>
    </w:lvlOverride>
    <w:lvlOverride w:ilvl="3">
      <w:lvl w:ilvl="3">
        <w:start w:val="1"/>
        <w:numFmt w:val="decimal"/>
        <w:pStyle w:val="Ttulo4"/>
        <w:lvlText w:val="%1.%2.%3.%4"/>
        <w:legacy w:legacy="1" w:legacySpace="144" w:legacyIndent="0"/>
        <w:lvlJc w:val="left"/>
      </w:lvl>
    </w:lvlOverride>
    <w:lvlOverride w:ilvl="4">
      <w:lvl w:ilvl="4">
        <w:start w:val="1"/>
        <w:numFmt w:val="decimal"/>
        <w:pStyle w:val="Ttulo5"/>
        <w:lvlText w:val="%1.%2.%3.%4.%5"/>
        <w:legacy w:legacy="1" w:legacySpace="144" w:legacyIndent="0"/>
        <w:lvlJc w:val="left"/>
      </w:lvl>
    </w:lvlOverride>
    <w:lvlOverride w:ilvl="5">
      <w:lvl w:ilvl="5">
        <w:start w:val="1"/>
        <w:numFmt w:val="decimal"/>
        <w:pStyle w:val="Ttulo6"/>
        <w:lvlText w:val="%1.%2.%3.%4.%5.%6"/>
        <w:legacy w:legacy="1" w:legacySpace="144" w:legacyIndent="0"/>
        <w:lvlJc w:val="left"/>
      </w:lvl>
    </w:lvlOverride>
    <w:lvlOverride w:ilvl="6">
      <w:lvl w:ilvl="6">
        <w:start w:val="1"/>
        <w:numFmt w:val="decimal"/>
        <w:pStyle w:val="Ttulo7"/>
        <w:lvlText w:val="%1.%2.%3.%4.%5.%6.%7"/>
        <w:legacy w:legacy="1" w:legacySpace="144" w:legacyIndent="0"/>
        <w:lvlJc w:val="left"/>
      </w:lvl>
    </w:lvlOverride>
    <w:lvlOverride w:ilvl="7">
      <w:lvl w:ilvl="7">
        <w:start w:val="1"/>
        <w:numFmt w:val="decimal"/>
        <w:pStyle w:val="Ttulo8"/>
        <w:lvlText w:val="%1.%2.%3.%4.%5.%6.%7.%8"/>
        <w:legacy w:legacy="1" w:legacySpace="144" w:legacyIndent="0"/>
        <w:lvlJc w:val="left"/>
      </w:lvl>
    </w:lvlOverride>
    <w:lvlOverride w:ilvl="8">
      <w:lvl w:ilvl="8">
        <w:start w:val="1"/>
        <w:numFmt w:val="decimal"/>
        <w:pStyle w:val="Ttulo9"/>
        <w:lvlText w:val="%1.%2.%3.%4.%5.%6.%7.%8.%9"/>
        <w:legacy w:legacy="1" w:legacySpace="144" w:legacyIndent="0"/>
        <w:lvlJc w:val="left"/>
      </w:lvl>
    </w:lvlOverride>
  </w:num>
  <w:num w:numId="58">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59">
    <w:abstractNumId w:val="5"/>
  </w:num>
  <w:num w:numId="60">
    <w:abstractNumId w:val="0"/>
  </w:num>
  <w:num w:numId="61">
    <w:abstractNumId w:val="0"/>
  </w:num>
  <w:num w:numId="62">
    <w:abstractNumId w:val="0"/>
  </w:num>
  <w:num w:numId="63">
    <w:abstractNumId w:val="6"/>
  </w:num>
  <w:num w:numId="64">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C8A"/>
    <w:rsid w:val="00005CB2"/>
    <w:rsid w:val="00007585"/>
    <w:rsid w:val="00011600"/>
    <w:rsid w:val="000154E5"/>
    <w:rsid w:val="00020D7F"/>
    <w:rsid w:val="00023735"/>
    <w:rsid w:val="000357FD"/>
    <w:rsid w:val="00040021"/>
    <w:rsid w:val="00041A98"/>
    <w:rsid w:val="000507A0"/>
    <w:rsid w:val="00051E03"/>
    <w:rsid w:val="000523A3"/>
    <w:rsid w:val="00054AE4"/>
    <w:rsid w:val="000555C4"/>
    <w:rsid w:val="00056B02"/>
    <w:rsid w:val="000602A8"/>
    <w:rsid w:val="000615B3"/>
    <w:rsid w:val="00067BA8"/>
    <w:rsid w:val="00071E87"/>
    <w:rsid w:val="000743A7"/>
    <w:rsid w:val="00083AE8"/>
    <w:rsid w:val="000954B0"/>
    <w:rsid w:val="00096F6C"/>
    <w:rsid w:val="0009710D"/>
    <w:rsid w:val="000A5760"/>
    <w:rsid w:val="000B74D3"/>
    <w:rsid w:val="000C3BC1"/>
    <w:rsid w:val="000D0F32"/>
    <w:rsid w:val="000D2800"/>
    <w:rsid w:val="000D4E5F"/>
    <w:rsid w:val="000D7C3D"/>
    <w:rsid w:val="000E530E"/>
    <w:rsid w:val="000E622B"/>
    <w:rsid w:val="000F4B9B"/>
    <w:rsid w:val="00101FBB"/>
    <w:rsid w:val="00103AE4"/>
    <w:rsid w:val="00112E32"/>
    <w:rsid w:val="00113E8F"/>
    <w:rsid w:val="0012190B"/>
    <w:rsid w:val="00121FC9"/>
    <w:rsid w:val="00122EAF"/>
    <w:rsid w:val="00123883"/>
    <w:rsid w:val="00126DE4"/>
    <w:rsid w:val="00146DB4"/>
    <w:rsid w:val="0015645B"/>
    <w:rsid w:val="00167EC5"/>
    <w:rsid w:val="00172A27"/>
    <w:rsid w:val="00194282"/>
    <w:rsid w:val="0019611A"/>
    <w:rsid w:val="00196ECB"/>
    <w:rsid w:val="001B32F5"/>
    <w:rsid w:val="001C66A9"/>
    <w:rsid w:val="001D2E24"/>
    <w:rsid w:val="001D2EE4"/>
    <w:rsid w:val="001E5620"/>
    <w:rsid w:val="001F3A95"/>
    <w:rsid w:val="002033F5"/>
    <w:rsid w:val="002054D0"/>
    <w:rsid w:val="00211681"/>
    <w:rsid w:val="0021176D"/>
    <w:rsid w:val="002208DB"/>
    <w:rsid w:val="002243FD"/>
    <w:rsid w:val="00227306"/>
    <w:rsid w:val="00227E55"/>
    <w:rsid w:val="002302F1"/>
    <w:rsid w:val="00247196"/>
    <w:rsid w:val="00254B94"/>
    <w:rsid w:val="0026625B"/>
    <w:rsid w:val="0026767E"/>
    <w:rsid w:val="002773F1"/>
    <w:rsid w:val="00293319"/>
    <w:rsid w:val="00295413"/>
    <w:rsid w:val="00297166"/>
    <w:rsid w:val="002973C7"/>
    <w:rsid w:val="002A2751"/>
    <w:rsid w:val="002A67BF"/>
    <w:rsid w:val="002B106F"/>
    <w:rsid w:val="002B1484"/>
    <w:rsid w:val="002B1E5E"/>
    <w:rsid w:val="002C0373"/>
    <w:rsid w:val="002C732B"/>
    <w:rsid w:val="002D1079"/>
    <w:rsid w:val="002D19B7"/>
    <w:rsid w:val="002D618D"/>
    <w:rsid w:val="002F03D6"/>
    <w:rsid w:val="002F0748"/>
    <w:rsid w:val="002F531C"/>
    <w:rsid w:val="002F6807"/>
    <w:rsid w:val="00300BBE"/>
    <w:rsid w:val="003045C3"/>
    <w:rsid w:val="003141F7"/>
    <w:rsid w:val="00322488"/>
    <w:rsid w:val="003246CE"/>
    <w:rsid w:val="00334D96"/>
    <w:rsid w:val="00340012"/>
    <w:rsid w:val="00346430"/>
    <w:rsid w:val="00353E06"/>
    <w:rsid w:val="003563A4"/>
    <w:rsid w:val="003633C5"/>
    <w:rsid w:val="00367564"/>
    <w:rsid w:val="00373ED4"/>
    <w:rsid w:val="00383975"/>
    <w:rsid w:val="00385C5A"/>
    <w:rsid w:val="00392AAD"/>
    <w:rsid w:val="0039460C"/>
    <w:rsid w:val="003A043C"/>
    <w:rsid w:val="003A3206"/>
    <w:rsid w:val="003A68A3"/>
    <w:rsid w:val="003B0723"/>
    <w:rsid w:val="003B1C77"/>
    <w:rsid w:val="003B5F95"/>
    <w:rsid w:val="003C0F98"/>
    <w:rsid w:val="003C2E3C"/>
    <w:rsid w:val="003C5C4F"/>
    <w:rsid w:val="003C6706"/>
    <w:rsid w:val="003C7AA2"/>
    <w:rsid w:val="003E420C"/>
    <w:rsid w:val="003E6ADB"/>
    <w:rsid w:val="003F14B0"/>
    <w:rsid w:val="004042AB"/>
    <w:rsid w:val="0040580C"/>
    <w:rsid w:val="00406724"/>
    <w:rsid w:val="00412590"/>
    <w:rsid w:val="00414A59"/>
    <w:rsid w:val="004168FC"/>
    <w:rsid w:val="00421057"/>
    <w:rsid w:val="004336B4"/>
    <w:rsid w:val="00440271"/>
    <w:rsid w:val="00440DAA"/>
    <w:rsid w:val="00443AE7"/>
    <w:rsid w:val="004440D6"/>
    <w:rsid w:val="00444A98"/>
    <w:rsid w:val="00446EA0"/>
    <w:rsid w:val="00454AD9"/>
    <w:rsid w:val="00455800"/>
    <w:rsid w:val="0046567C"/>
    <w:rsid w:val="00467D52"/>
    <w:rsid w:val="00475484"/>
    <w:rsid w:val="00475538"/>
    <w:rsid w:val="004768AB"/>
    <w:rsid w:val="00476B44"/>
    <w:rsid w:val="004965BF"/>
    <w:rsid w:val="004A0C7C"/>
    <w:rsid w:val="004A3F41"/>
    <w:rsid w:val="004A41CF"/>
    <w:rsid w:val="004B750C"/>
    <w:rsid w:val="004D01B9"/>
    <w:rsid w:val="004D0393"/>
    <w:rsid w:val="004E605D"/>
    <w:rsid w:val="004E6D05"/>
    <w:rsid w:val="004E701D"/>
    <w:rsid w:val="004F4060"/>
    <w:rsid w:val="004F4EAA"/>
    <w:rsid w:val="004F6DF5"/>
    <w:rsid w:val="00507991"/>
    <w:rsid w:val="005149D7"/>
    <w:rsid w:val="005369CD"/>
    <w:rsid w:val="00536F2F"/>
    <w:rsid w:val="00543B33"/>
    <w:rsid w:val="00553370"/>
    <w:rsid w:val="005569FE"/>
    <w:rsid w:val="00575B97"/>
    <w:rsid w:val="00575FC1"/>
    <w:rsid w:val="00584328"/>
    <w:rsid w:val="005951A4"/>
    <w:rsid w:val="005957FD"/>
    <w:rsid w:val="005A1D14"/>
    <w:rsid w:val="005A47CC"/>
    <w:rsid w:val="005A77F9"/>
    <w:rsid w:val="005A7F8D"/>
    <w:rsid w:val="005B2905"/>
    <w:rsid w:val="005B55AF"/>
    <w:rsid w:val="005B62D1"/>
    <w:rsid w:val="005C36CD"/>
    <w:rsid w:val="005C4B78"/>
    <w:rsid w:val="005C4F1C"/>
    <w:rsid w:val="005C58E1"/>
    <w:rsid w:val="005C59A9"/>
    <w:rsid w:val="005D2B0F"/>
    <w:rsid w:val="005D3152"/>
    <w:rsid w:val="005D31A6"/>
    <w:rsid w:val="005E2648"/>
    <w:rsid w:val="005E58C7"/>
    <w:rsid w:val="005E5EEA"/>
    <w:rsid w:val="005F78E0"/>
    <w:rsid w:val="0060163F"/>
    <w:rsid w:val="006178E4"/>
    <w:rsid w:val="00622133"/>
    <w:rsid w:val="00623C92"/>
    <w:rsid w:val="00623F22"/>
    <w:rsid w:val="006278D0"/>
    <w:rsid w:val="006311E4"/>
    <w:rsid w:val="006445BA"/>
    <w:rsid w:val="00644F3E"/>
    <w:rsid w:val="0065076F"/>
    <w:rsid w:val="00654FF9"/>
    <w:rsid w:val="0066378A"/>
    <w:rsid w:val="006639AE"/>
    <w:rsid w:val="006771C0"/>
    <w:rsid w:val="00691309"/>
    <w:rsid w:val="00696994"/>
    <w:rsid w:val="006A4A0A"/>
    <w:rsid w:val="006B53EA"/>
    <w:rsid w:val="006C3D2D"/>
    <w:rsid w:val="006C69D7"/>
    <w:rsid w:val="006C7CE3"/>
    <w:rsid w:val="006D0087"/>
    <w:rsid w:val="006E6C1E"/>
    <w:rsid w:val="006F496F"/>
    <w:rsid w:val="006F686C"/>
    <w:rsid w:val="00701DEB"/>
    <w:rsid w:val="007127A7"/>
    <w:rsid w:val="00716BD4"/>
    <w:rsid w:val="00720994"/>
    <w:rsid w:val="00722110"/>
    <w:rsid w:val="00724E5B"/>
    <w:rsid w:val="00725F7F"/>
    <w:rsid w:val="00740901"/>
    <w:rsid w:val="00751DD5"/>
    <w:rsid w:val="0075508D"/>
    <w:rsid w:val="00770C81"/>
    <w:rsid w:val="00781FF6"/>
    <w:rsid w:val="0078262E"/>
    <w:rsid w:val="00785967"/>
    <w:rsid w:val="0079776A"/>
    <w:rsid w:val="007A6D76"/>
    <w:rsid w:val="007B10B2"/>
    <w:rsid w:val="007B2E4D"/>
    <w:rsid w:val="007C2EE8"/>
    <w:rsid w:val="007D034A"/>
    <w:rsid w:val="007E3628"/>
    <w:rsid w:val="007E5736"/>
    <w:rsid w:val="007F0079"/>
    <w:rsid w:val="007F03EC"/>
    <w:rsid w:val="007F08A7"/>
    <w:rsid w:val="007F68C4"/>
    <w:rsid w:val="00802CA3"/>
    <w:rsid w:val="00810512"/>
    <w:rsid w:val="008137CB"/>
    <w:rsid w:val="00814EF3"/>
    <w:rsid w:val="008224B6"/>
    <w:rsid w:val="00827167"/>
    <w:rsid w:val="00832150"/>
    <w:rsid w:val="008332F5"/>
    <w:rsid w:val="00837FA5"/>
    <w:rsid w:val="008461A2"/>
    <w:rsid w:val="00847E17"/>
    <w:rsid w:val="00866F5C"/>
    <w:rsid w:val="00870E03"/>
    <w:rsid w:val="00872022"/>
    <w:rsid w:val="00880E21"/>
    <w:rsid w:val="00881ECF"/>
    <w:rsid w:val="00884012"/>
    <w:rsid w:val="00884640"/>
    <w:rsid w:val="00892EB5"/>
    <w:rsid w:val="00893C43"/>
    <w:rsid w:val="00894C1C"/>
    <w:rsid w:val="008973AB"/>
    <w:rsid w:val="008A3B92"/>
    <w:rsid w:val="008B53EC"/>
    <w:rsid w:val="008C10EB"/>
    <w:rsid w:val="008C27F0"/>
    <w:rsid w:val="008D30AA"/>
    <w:rsid w:val="008D3638"/>
    <w:rsid w:val="008D5CBC"/>
    <w:rsid w:val="008E16CA"/>
    <w:rsid w:val="008E3260"/>
    <w:rsid w:val="008F11B1"/>
    <w:rsid w:val="008F2FE5"/>
    <w:rsid w:val="008F4452"/>
    <w:rsid w:val="00910DB6"/>
    <w:rsid w:val="00913B7D"/>
    <w:rsid w:val="009143AA"/>
    <w:rsid w:val="009352AE"/>
    <w:rsid w:val="00941022"/>
    <w:rsid w:val="00952B4B"/>
    <w:rsid w:val="00954954"/>
    <w:rsid w:val="00970539"/>
    <w:rsid w:val="00971360"/>
    <w:rsid w:val="00972A50"/>
    <w:rsid w:val="009867B6"/>
    <w:rsid w:val="009A3C1E"/>
    <w:rsid w:val="009A3EA1"/>
    <w:rsid w:val="009A4294"/>
    <w:rsid w:val="009A47D6"/>
    <w:rsid w:val="009B0573"/>
    <w:rsid w:val="009B066D"/>
    <w:rsid w:val="009B1FDF"/>
    <w:rsid w:val="009C3842"/>
    <w:rsid w:val="009C5A02"/>
    <w:rsid w:val="009F0B69"/>
    <w:rsid w:val="009F0FB1"/>
    <w:rsid w:val="009F7D37"/>
    <w:rsid w:val="00A012E5"/>
    <w:rsid w:val="00A14869"/>
    <w:rsid w:val="00A16597"/>
    <w:rsid w:val="00A20D32"/>
    <w:rsid w:val="00A402C8"/>
    <w:rsid w:val="00A50306"/>
    <w:rsid w:val="00A5304E"/>
    <w:rsid w:val="00A61239"/>
    <w:rsid w:val="00A81976"/>
    <w:rsid w:val="00A864F0"/>
    <w:rsid w:val="00A911A9"/>
    <w:rsid w:val="00A91F95"/>
    <w:rsid w:val="00A945A2"/>
    <w:rsid w:val="00AA0C4C"/>
    <w:rsid w:val="00AA77B1"/>
    <w:rsid w:val="00AB0937"/>
    <w:rsid w:val="00AC03CA"/>
    <w:rsid w:val="00AD1080"/>
    <w:rsid w:val="00AD48F0"/>
    <w:rsid w:val="00AD5313"/>
    <w:rsid w:val="00AE137C"/>
    <w:rsid w:val="00AE4401"/>
    <w:rsid w:val="00AF377B"/>
    <w:rsid w:val="00B21B11"/>
    <w:rsid w:val="00B25AA9"/>
    <w:rsid w:val="00B27662"/>
    <w:rsid w:val="00B33430"/>
    <w:rsid w:val="00B34DDE"/>
    <w:rsid w:val="00B402E2"/>
    <w:rsid w:val="00B414BE"/>
    <w:rsid w:val="00B4244D"/>
    <w:rsid w:val="00B42CC4"/>
    <w:rsid w:val="00B46BF5"/>
    <w:rsid w:val="00B65DB1"/>
    <w:rsid w:val="00B6720F"/>
    <w:rsid w:val="00B709EF"/>
    <w:rsid w:val="00B94FE5"/>
    <w:rsid w:val="00B954B3"/>
    <w:rsid w:val="00BA6DC3"/>
    <w:rsid w:val="00BB2691"/>
    <w:rsid w:val="00BB2C83"/>
    <w:rsid w:val="00BC7E83"/>
    <w:rsid w:val="00BD1CE8"/>
    <w:rsid w:val="00BD6E0B"/>
    <w:rsid w:val="00BE061F"/>
    <w:rsid w:val="00BE3E20"/>
    <w:rsid w:val="00BF6F75"/>
    <w:rsid w:val="00BF7AE7"/>
    <w:rsid w:val="00C15DB8"/>
    <w:rsid w:val="00C17B1F"/>
    <w:rsid w:val="00C21DFE"/>
    <w:rsid w:val="00C327E3"/>
    <w:rsid w:val="00C3552F"/>
    <w:rsid w:val="00C426EB"/>
    <w:rsid w:val="00C45544"/>
    <w:rsid w:val="00C639CA"/>
    <w:rsid w:val="00C64AD8"/>
    <w:rsid w:val="00C754C1"/>
    <w:rsid w:val="00C76833"/>
    <w:rsid w:val="00C82639"/>
    <w:rsid w:val="00C831C5"/>
    <w:rsid w:val="00C86579"/>
    <w:rsid w:val="00C90EA8"/>
    <w:rsid w:val="00C922B0"/>
    <w:rsid w:val="00CA6B49"/>
    <w:rsid w:val="00CB2484"/>
    <w:rsid w:val="00CB7BAE"/>
    <w:rsid w:val="00CC4F92"/>
    <w:rsid w:val="00CC651D"/>
    <w:rsid w:val="00CD06CC"/>
    <w:rsid w:val="00CD1DC5"/>
    <w:rsid w:val="00CE5929"/>
    <w:rsid w:val="00CF3FDC"/>
    <w:rsid w:val="00CF5475"/>
    <w:rsid w:val="00D02515"/>
    <w:rsid w:val="00D04723"/>
    <w:rsid w:val="00D23683"/>
    <w:rsid w:val="00D30F60"/>
    <w:rsid w:val="00D314DB"/>
    <w:rsid w:val="00D33453"/>
    <w:rsid w:val="00D42D74"/>
    <w:rsid w:val="00D458CE"/>
    <w:rsid w:val="00D614DA"/>
    <w:rsid w:val="00D72404"/>
    <w:rsid w:val="00D773DB"/>
    <w:rsid w:val="00D8750B"/>
    <w:rsid w:val="00D93364"/>
    <w:rsid w:val="00D97E02"/>
    <w:rsid w:val="00DA0453"/>
    <w:rsid w:val="00DA085F"/>
    <w:rsid w:val="00DA1189"/>
    <w:rsid w:val="00DA22E7"/>
    <w:rsid w:val="00DA3DEA"/>
    <w:rsid w:val="00DB5DCA"/>
    <w:rsid w:val="00DC5231"/>
    <w:rsid w:val="00DD66B3"/>
    <w:rsid w:val="00DE465E"/>
    <w:rsid w:val="00DE5160"/>
    <w:rsid w:val="00DE6FAB"/>
    <w:rsid w:val="00DF5986"/>
    <w:rsid w:val="00DF7D46"/>
    <w:rsid w:val="00E05D78"/>
    <w:rsid w:val="00E13966"/>
    <w:rsid w:val="00E15DA7"/>
    <w:rsid w:val="00E2266F"/>
    <w:rsid w:val="00E24D8C"/>
    <w:rsid w:val="00E30D3A"/>
    <w:rsid w:val="00E33B31"/>
    <w:rsid w:val="00E41262"/>
    <w:rsid w:val="00E517B7"/>
    <w:rsid w:val="00E52232"/>
    <w:rsid w:val="00E54399"/>
    <w:rsid w:val="00E67837"/>
    <w:rsid w:val="00E70C35"/>
    <w:rsid w:val="00E72DE1"/>
    <w:rsid w:val="00E741BF"/>
    <w:rsid w:val="00E83AE3"/>
    <w:rsid w:val="00E83E7B"/>
    <w:rsid w:val="00E85EEC"/>
    <w:rsid w:val="00EA71F9"/>
    <w:rsid w:val="00EB3B52"/>
    <w:rsid w:val="00EB59F6"/>
    <w:rsid w:val="00EB78CF"/>
    <w:rsid w:val="00EC0276"/>
    <w:rsid w:val="00EC4E04"/>
    <w:rsid w:val="00EC7567"/>
    <w:rsid w:val="00ED3BAD"/>
    <w:rsid w:val="00ED5D85"/>
    <w:rsid w:val="00EF2D4B"/>
    <w:rsid w:val="00F0035E"/>
    <w:rsid w:val="00F134C4"/>
    <w:rsid w:val="00F152C0"/>
    <w:rsid w:val="00F15605"/>
    <w:rsid w:val="00F15CE9"/>
    <w:rsid w:val="00F1663F"/>
    <w:rsid w:val="00F16D31"/>
    <w:rsid w:val="00F22ADA"/>
    <w:rsid w:val="00F40F26"/>
    <w:rsid w:val="00F42EDA"/>
    <w:rsid w:val="00F45402"/>
    <w:rsid w:val="00F474AC"/>
    <w:rsid w:val="00F51057"/>
    <w:rsid w:val="00F55286"/>
    <w:rsid w:val="00F559ED"/>
    <w:rsid w:val="00F60C26"/>
    <w:rsid w:val="00F739BE"/>
    <w:rsid w:val="00F762BB"/>
    <w:rsid w:val="00F84BCE"/>
    <w:rsid w:val="00F85028"/>
    <w:rsid w:val="00F85741"/>
    <w:rsid w:val="00F90F5A"/>
    <w:rsid w:val="00F94FD2"/>
    <w:rsid w:val="00FA0277"/>
    <w:rsid w:val="00FA1EEE"/>
    <w:rsid w:val="00FA57C8"/>
    <w:rsid w:val="00FB2C5C"/>
    <w:rsid w:val="00FB7F33"/>
    <w:rsid w:val="00FC6521"/>
    <w:rsid w:val="00FE4018"/>
    <w:rsid w:val="00FE69BC"/>
    <w:rsid w:val="00FE7B56"/>
    <w:rsid w:val="00FF0A4E"/>
    <w:rsid w:val="00FF43A1"/>
    <w:rsid w:val="00FF53DC"/>
    <w:rsid w:val="00FF5584"/>
    <w:rsid w:val="00FF69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4B0"/>
    <w:pPr>
      <w:spacing w:line="288" w:lineRule="auto"/>
      <w:jc w:val="both"/>
    </w:pPr>
    <w:rPr>
      <w:sz w:val="22"/>
      <w:szCs w:val="22"/>
    </w:rPr>
  </w:style>
  <w:style w:type="paragraph" w:styleId="Ttulo1">
    <w:name w:val="heading 1"/>
    <w:basedOn w:val="Normal"/>
    <w:next w:val="Normal"/>
    <w:link w:val="Ttulo1Car"/>
    <w:qFormat/>
    <w:rsid w:val="000954B0"/>
    <w:pPr>
      <w:numPr>
        <w:numId w:val="2"/>
      </w:numPr>
      <w:ind w:left="720" w:hanging="720"/>
      <w:outlineLvl w:val="0"/>
    </w:pPr>
    <w:rPr>
      <w:kern w:val="28"/>
    </w:rPr>
  </w:style>
  <w:style w:type="paragraph" w:styleId="Ttulo2">
    <w:name w:val="heading 2"/>
    <w:basedOn w:val="Normal"/>
    <w:next w:val="Normal"/>
    <w:link w:val="Ttulo2Car"/>
    <w:qFormat/>
    <w:rsid w:val="000954B0"/>
    <w:pPr>
      <w:numPr>
        <w:ilvl w:val="1"/>
        <w:numId w:val="2"/>
      </w:numPr>
      <w:ind w:left="720" w:hanging="720"/>
      <w:outlineLvl w:val="1"/>
    </w:pPr>
  </w:style>
  <w:style w:type="paragraph" w:styleId="Ttulo3">
    <w:name w:val="heading 3"/>
    <w:basedOn w:val="Normal"/>
    <w:next w:val="Normal"/>
    <w:link w:val="Ttulo3Car"/>
    <w:qFormat/>
    <w:rsid w:val="000954B0"/>
    <w:pPr>
      <w:numPr>
        <w:ilvl w:val="2"/>
        <w:numId w:val="2"/>
      </w:numPr>
      <w:ind w:left="720" w:hanging="720"/>
      <w:outlineLvl w:val="2"/>
    </w:pPr>
  </w:style>
  <w:style w:type="paragraph" w:styleId="Ttulo4">
    <w:name w:val="heading 4"/>
    <w:basedOn w:val="Normal"/>
    <w:next w:val="Normal"/>
    <w:link w:val="Ttulo4Car"/>
    <w:qFormat/>
    <w:rsid w:val="000954B0"/>
    <w:pPr>
      <w:numPr>
        <w:ilvl w:val="3"/>
        <w:numId w:val="2"/>
      </w:numPr>
      <w:ind w:left="720" w:hanging="720"/>
      <w:outlineLvl w:val="3"/>
    </w:pPr>
  </w:style>
  <w:style w:type="paragraph" w:styleId="Ttulo5">
    <w:name w:val="heading 5"/>
    <w:basedOn w:val="Normal"/>
    <w:next w:val="Normal"/>
    <w:link w:val="Ttulo5Car"/>
    <w:qFormat/>
    <w:rsid w:val="000954B0"/>
    <w:pPr>
      <w:numPr>
        <w:ilvl w:val="4"/>
        <w:numId w:val="2"/>
      </w:numPr>
      <w:ind w:left="720" w:hanging="720"/>
      <w:outlineLvl w:val="4"/>
    </w:pPr>
  </w:style>
  <w:style w:type="paragraph" w:styleId="Ttulo6">
    <w:name w:val="heading 6"/>
    <w:basedOn w:val="Normal"/>
    <w:next w:val="Normal"/>
    <w:link w:val="Ttulo6Car"/>
    <w:qFormat/>
    <w:rsid w:val="000954B0"/>
    <w:pPr>
      <w:numPr>
        <w:ilvl w:val="5"/>
        <w:numId w:val="2"/>
      </w:numPr>
      <w:ind w:left="720" w:hanging="720"/>
      <w:outlineLvl w:val="5"/>
    </w:pPr>
  </w:style>
  <w:style w:type="paragraph" w:styleId="Ttulo7">
    <w:name w:val="heading 7"/>
    <w:basedOn w:val="Normal"/>
    <w:next w:val="Normal"/>
    <w:link w:val="Ttulo7Car"/>
    <w:qFormat/>
    <w:rsid w:val="000954B0"/>
    <w:pPr>
      <w:numPr>
        <w:ilvl w:val="6"/>
        <w:numId w:val="2"/>
      </w:numPr>
      <w:ind w:left="720" w:hanging="720"/>
      <w:outlineLvl w:val="6"/>
    </w:pPr>
  </w:style>
  <w:style w:type="paragraph" w:styleId="Ttulo8">
    <w:name w:val="heading 8"/>
    <w:basedOn w:val="Normal"/>
    <w:next w:val="Normal"/>
    <w:link w:val="Ttulo8Car"/>
    <w:qFormat/>
    <w:rsid w:val="000954B0"/>
    <w:pPr>
      <w:numPr>
        <w:ilvl w:val="7"/>
        <w:numId w:val="2"/>
      </w:numPr>
      <w:ind w:left="720" w:hanging="720"/>
      <w:outlineLvl w:val="7"/>
    </w:pPr>
  </w:style>
  <w:style w:type="paragraph" w:styleId="Ttulo9">
    <w:name w:val="heading 9"/>
    <w:basedOn w:val="Normal"/>
    <w:next w:val="Normal"/>
    <w:link w:val="Ttulo9Car"/>
    <w:qFormat/>
    <w:rsid w:val="000954B0"/>
    <w:pPr>
      <w:numPr>
        <w:ilvl w:val="8"/>
        <w:numId w:val="2"/>
      </w:numPr>
      <w:ind w:left="720" w:hanging="720"/>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styleId="Refdenotaalpie">
    <w:name w:val="footnote reference"/>
    <w:basedOn w:val="Fuentedeprrafopredeter"/>
    <w:unhideWhenUsed/>
    <w:qFormat/>
    <w:rsid w:val="000954B0"/>
    <w:rPr>
      <w:sz w:val="24"/>
      <w:vertAlign w:val="superscript"/>
    </w:rPr>
  </w:style>
  <w:style w:type="character" w:styleId="Refdenotaalfinal">
    <w:name w:val="endnote reference"/>
    <w:rPr>
      <w:vertAlign w:val="superscript"/>
    </w:rPr>
  </w:style>
  <w:style w:type="paragraph" w:styleId="Piedepgina">
    <w:name w:val="footer"/>
    <w:basedOn w:val="Normal"/>
    <w:link w:val="PiedepginaCar"/>
    <w:qFormat/>
    <w:rsid w:val="000954B0"/>
  </w:style>
  <w:style w:type="paragraph" w:styleId="Encabezado">
    <w:name w:val="header"/>
    <w:basedOn w:val="Normal"/>
    <w:link w:val="EncabezadoCar"/>
    <w:qFormat/>
    <w:rsid w:val="000954B0"/>
  </w:style>
  <w:style w:type="paragraph" w:customStyle="1" w:styleId="LOGO">
    <w:name w:val="LOGO"/>
    <w:basedOn w:val="Normal"/>
    <w:rsid w:val="00740901"/>
    <w:pPr>
      <w:jc w:val="center"/>
    </w:pPr>
    <w:rPr>
      <w:rFonts w:ascii="Arial" w:hAnsi="Arial"/>
      <w:b/>
      <w:i/>
      <w:sz w:val="20"/>
    </w:rPr>
  </w:style>
  <w:style w:type="paragraph" w:styleId="Textonotapie">
    <w:name w:val="footnote text"/>
    <w:basedOn w:val="Normal"/>
    <w:link w:val="TextonotapieCar"/>
    <w:qFormat/>
    <w:rsid w:val="000954B0"/>
    <w:pPr>
      <w:keepLines/>
      <w:spacing w:after="60" w:line="240" w:lineRule="auto"/>
      <w:ind w:left="720" w:hanging="720"/>
    </w:pPr>
    <w:rPr>
      <w:sz w:val="16"/>
    </w:rPr>
  </w:style>
  <w:style w:type="character" w:customStyle="1" w:styleId="Ttulo1Car">
    <w:name w:val="Título 1 Car"/>
    <w:link w:val="Ttulo1"/>
    <w:rsid w:val="00941022"/>
    <w:rPr>
      <w:kern w:val="28"/>
      <w:sz w:val="22"/>
      <w:szCs w:val="22"/>
      <w:lang w:val="es-ES" w:eastAsia="es-ES" w:bidi="es-ES"/>
    </w:rPr>
  </w:style>
  <w:style w:type="character" w:customStyle="1" w:styleId="Ttulo2Car">
    <w:name w:val="Título 2 Car"/>
    <w:basedOn w:val="Fuentedeprrafopredeter"/>
    <w:link w:val="Ttulo2"/>
    <w:rsid w:val="00740901"/>
    <w:rPr>
      <w:sz w:val="22"/>
      <w:szCs w:val="22"/>
      <w:lang w:val="es-ES" w:eastAsia="es-ES" w:bidi="es-ES"/>
    </w:rPr>
  </w:style>
  <w:style w:type="character" w:customStyle="1" w:styleId="Ttulo3Car">
    <w:name w:val="Título 3 Car"/>
    <w:basedOn w:val="Fuentedeprrafopredeter"/>
    <w:link w:val="Ttulo3"/>
    <w:rsid w:val="00740901"/>
    <w:rPr>
      <w:sz w:val="22"/>
      <w:szCs w:val="22"/>
      <w:lang w:val="es-ES" w:eastAsia="es-ES" w:bidi="es-ES"/>
    </w:rPr>
  </w:style>
  <w:style w:type="character" w:customStyle="1" w:styleId="Ttulo4Car">
    <w:name w:val="Título 4 Car"/>
    <w:basedOn w:val="Fuentedeprrafopredeter"/>
    <w:link w:val="Ttulo4"/>
    <w:rsid w:val="00740901"/>
    <w:rPr>
      <w:sz w:val="22"/>
      <w:szCs w:val="22"/>
      <w:lang w:val="es-ES" w:eastAsia="es-ES" w:bidi="es-ES"/>
    </w:rPr>
  </w:style>
  <w:style w:type="character" w:customStyle="1" w:styleId="Ttulo5Car">
    <w:name w:val="Título 5 Car"/>
    <w:basedOn w:val="Fuentedeprrafopredeter"/>
    <w:link w:val="Ttulo5"/>
    <w:rsid w:val="00740901"/>
    <w:rPr>
      <w:sz w:val="22"/>
      <w:szCs w:val="22"/>
      <w:lang w:val="es-ES" w:eastAsia="es-ES" w:bidi="es-ES"/>
    </w:rPr>
  </w:style>
  <w:style w:type="character" w:customStyle="1" w:styleId="Ttulo6Car">
    <w:name w:val="Título 6 Car"/>
    <w:basedOn w:val="Fuentedeprrafopredeter"/>
    <w:link w:val="Ttulo6"/>
    <w:rsid w:val="00740901"/>
    <w:rPr>
      <w:sz w:val="22"/>
      <w:szCs w:val="22"/>
      <w:lang w:val="es-ES" w:eastAsia="es-ES" w:bidi="es-ES"/>
    </w:rPr>
  </w:style>
  <w:style w:type="character" w:customStyle="1" w:styleId="Ttulo7Car">
    <w:name w:val="Título 7 Car"/>
    <w:basedOn w:val="Fuentedeprrafopredeter"/>
    <w:link w:val="Ttulo7"/>
    <w:rsid w:val="00740901"/>
    <w:rPr>
      <w:sz w:val="22"/>
      <w:szCs w:val="22"/>
      <w:lang w:val="es-ES" w:eastAsia="es-ES" w:bidi="es-ES"/>
    </w:rPr>
  </w:style>
  <w:style w:type="character" w:customStyle="1" w:styleId="Ttulo8Car">
    <w:name w:val="Título 8 Car"/>
    <w:basedOn w:val="Fuentedeprrafopredeter"/>
    <w:link w:val="Ttulo8"/>
    <w:rsid w:val="00740901"/>
    <w:rPr>
      <w:sz w:val="22"/>
      <w:szCs w:val="22"/>
      <w:lang w:val="es-ES" w:eastAsia="es-ES" w:bidi="es-ES"/>
    </w:rPr>
  </w:style>
  <w:style w:type="character" w:customStyle="1" w:styleId="Ttulo9Car">
    <w:name w:val="Título 9 Car"/>
    <w:basedOn w:val="Fuentedeprrafopredeter"/>
    <w:link w:val="Ttulo9"/>
    <w:rsid w:val="00740901"/>
    <w:rPr>
      <w:sz w:val="22"/>
      <w:szCs w:val="22"/>
      <w:lang w:val="es-ES" w:eastAsia="es-ES" w:bidi="es-ES"/>
    </w:rPr>
  </w:style>
  <w:style w:type="character" w:customStyle="1" w:styleId="PiedepginaCar">
    <w:name w:val="Pie de página Car"/>
    <w:basedOn w:val="Fuentedeprrafopredeter"/>
    <w:link w:val="Piedepgina"/>
    <w:rsid w:val="00740901"/>
    <w:rPr>
      <w:sz w:val="22"/>
      <w:szCs w:val="22"/>
      <w:lang w:val="es-ES" w:eastAsia="es-ES" w:bidi="es-ES"/>
    </w:rPr>
  </w:style>
  <w:style w:type="character" w:customStyle="1" w:styleId="TextonotapieCar">
    <w:name w:val="Texto nota pie Car"/>
    <w:basedOn w:val="Fuentedeprrafopredeter"/>
    <w:link w:val="Textonotapie"/>
    <w:rsid w:val="00740901"/>
    <w:rPr>
      <w:sz w:val="16"/>
      <w:szCs w:val="22"/>
      <w:lang w:val="es-ES" w:eastAsia="es-ES" w:bidi="es-ES"/>
    </w:rPr>
  </w:style>
  <w:style w:type="character" w:customStyle="1" w:styleId="EncabezadoCar">
    <w:name w:val="Encabezado Car"/>
    <w:basedOn w:val="Fuentedeprrafopredeter"/>
    <w:link w:val="Encabezado"/>
    <w:rsid w:val="00740901"/>
    <w:rPr>
      <w:sz w:val="22"/>
      <w:szCs w:val="22"/>
      <w:lang w:val="es-ES" w:eastAsia="es-ES" w:bidi="es-ES"/>
    </w:rPr>
  </w:style>
  <w:style w:type="character" w:styleId="Hipervnculovisitado">
    <w:name w:val="FollowedHyperlink"/>
    <w:basedOn w:val="Fuentedeprrafopredeter"/>
    <w:uiPriority w:val="99"/>
    <w:rsid w:val="00740901"/>
    <w:rPr>
      <w:color w:val="800080"/>
      <w:u w:val="single"/>
    </w:rPr>
  </w:style>
  <w:style w:type="paragraph" w:styleId="Revisin">
    <w:name w:val="Revision"/>
    <w:hidden/>
    <w:uiPriority w:val="99"/>
    <w:semiHidden/>
    <w:rsid w:val="002C0373"/>
    <w:rPr>
      <w:kern w:val="1"/>
      <w:sz w:val="22"/>
    </w:rPr>
  </w:style>
  <w:style w:type="paragraph" w:styleId="Textonotaalfinal">
    <w:name w:val="endnote text"/>
    <w:basedOn w:val="Normal"/>
    <w:link w:val="TextonotaalfinalCar"/>
    <w:uiPriority w:val="99"/>
    <w:semiHidden/>
    <w:unhideWhenUsed/>
    <w:rsid w:val="00ED3BAD"/>
    <w:pPr>
      <w:spacing w:line="240" w:lineRule="auto"/>
    </w:pPr>
    <w:rPr>
      <w:sz w:val="20"/>
    </w:rPr>
  </w:style>
  <w:style w:type="character" w:customStyle="1" w:styleId="TextonotaalfinalCar">
    <w:name w:val="Texto nota al final Car"/>
    <w:basedOn w:val="Fuentedeprrafopredeter"/>
    <w:link w:val="Textonotaalfinal"/>
    <w:uiPriority w:val="99"/>
    <w:semiHidden/>
    <w:rsid w:val="00ED3BAD"/>
  </w:style>
  <w:style w:type="paragraph" w:customStyle="1" w:styleId="quotes">
    <w:name w:val="quotes"/>
    <w:basedOn w:val="Normal"/>
    <w:next w:val="Normal"/>
    <w:rsid w:val="000954B0"/>
    <w:pPr>
      <w:ind w:left="720"/>
    </w:pPr>
    <w:rPr>
      <w:i/>
    </w:rPr>
  </w:style>
  <w:style w:type="paragraph" w:styleId="Textodeglobo">
    <w:name w:val="Balloon Text"/>
    <w:basedOn w:val="Normal"/>
    <w:link w:val="TextodegloboCar"/>
    <w:semiHidden/>
    <w:unhideWhenUsed/>
    <w:rsid w:val="00B25AA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B25AA9"/>
    <w:rPr>
      <w:rFonts w:ascii="Tahoma" w:hAnsi="Tahoma" w:cs="Tahoma"/>
      <w:sz w:val="16"/>
      <w:szCs w:val="16"/>
      <w:lang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4B0"/>
    <w:pPr>
      <w:spacing w:line="288" w:lineRule="auto"/>
      <w:jc w:val="both"/>
    </w:pPr>
    <w:rPr>
      <w:sz w:val="22"/>
      <w:szCs w:val="22"/>
    </w:rPr>
  </w:style>
  <w:style w:type="paragraph" w:styleId="Ttulo1">
    <w:name w:val="heading 1"/>
    <w:basedOn w:val="Normal"/>
    <w:next w:val="Normal"/>
    <w:link w:val="Ttulo1Car"/>
    <w:qFormat/>
    <w:rsid w:val="000954B0"/>
    <w:pPr>
      <w:numPr>
        <w:numId w:val="2"/>
      </w:numPr>
      <w:ind w:left="720" w:hanging="720"/>
      <w:outlineLvl w:val="0"/>
    </w:pPr>
    <w:rPr>
      <w:kern w:val="28"/>
    </w:rPr>
  </w:style>
  <w:style w:type="paragraph" w:styleId="Ttulo2">
    <w:name w:val="heading 2"/>
    <w:basedOn w:val="Normal"/>
    <w:next w:val="Normal"/>
    <w:link w:val="Ttulo2Car"/>
    <w:qFormat/>
    <w:rsid w:val="000954B0"/>
    <w:pPr>
      <w:numPr>
        <w:ilvl w:val="1"/>
        <w:numId w:val="2"/>
      </w:numPr>
      <w:ind w:left="720" w:hanging="720"/>
      <w:outlineLvl w:val="1"/>
    </w:pPr>
  </w:style>
  <w:style w:type="paragraph" w:styleId="Ttulo3">
    <w:name w:val="heading 3"/>
    <w:basedOn w:val="Normal"/>
    <w:next w:val="Normal"/>
    <w:link w:val="Ttulo3Car"/>
    <w:qFormat/>
    <w:rsid w:val="000954B0"/>
    <w:pPr>
      <w:numPr>
        <w:ilvl w:val="2"/>
        <w:numId w:val="2"/>
      </w:numPr>
      <w:ind w:left="720" w:hanging="720"/>
      <w:outlineLvl w:val="2"/>
    </w:pPr>
  </w:style>
  <w:style w:type="paragraph" w:styleId="Ttulo4">
    <w:name w:val="heading 4"/>
    <w:basedOn w:val="Normal"/>
    <w:next w:val="Normal"/>
    <w:link w:val="Ttulo4Car"/>
    <w:qFormat/>
    <w:rsid w:val="000954B0"/>
    <w:pPr>
      <w:numPr>
        <w:ilvl w:val="3"/>
        <w:numId w:val="2"/>
      </w:numPr>
      <w:ind w:left="720" w:hanging="720"/>
      <w:outlineLvl w:val="3"/>
    </w:pPr>
  </w:style>
  <w:style w:type="paragraph" w:styleId="Ttulo5">
    <w:name w:val="heading 5"/>
    <w:basedOn w:val="Normal"/>
    <w:next w:val="Normal"/>
    <w:link w:val="Ttulo5Car"/>
    <w:qFormat/>
    <w:rsid w:val="000954B0"/>
    <w:pPr>
      <w:numPr>
        <w:ilvl w:val="4"/>
        <w:numId w:val="2"/>
      </w:numPr>
      <w:ind w:left="720" w:hanging="720"/>
      <w:outlineLvl w:val="4"/>
    </w:pPr>
  </w:style>
  <w:style w:type="paragraph" w:styleId="Ttulo6">
    <w:name w:val="heading 6"/>
    <w:basedOn w:val="Normal"/>
    <w:next w:val="Normal"/>
    <w:link w:val="Ttulo6Car"/>
    <w:qFormat/>
    <w:rsid w:val="000954B0"/>
    <w:pPr>
      <w:numPr>
        <w:ilvl w:val="5"/>
        <w:numId w:val="2"/>
      </w:numPr>
      <w:ind w:left="720" w:hanging="720"/>
      <w:outlineLvl w:val="5"/>
    </w:pPr>
  </w:style>
  <w:style w:type="paragraph" w:styleId="Ttulo7">
    <w:name w:val="heading 7"/>
    <w:basedOn w:val="Normal"/>
    <w:next w:val="Normal"/>
    <w:link w:val="Ttulo7Car"/>
    <w:qFormat/>
    <w:rsid w:val="000954B0"/>
    <w:pPr>
      <w:numPr>
        <w:ilvl w:val="6"/>
        <w:numId w:val="2"/>
      </w:numPr>
      <w:ind w:left="720" w:hanging="720"/>
      <w:outlineLvl w:val="6"/>
    </w:pPr>
  </w:style>
  <w:style w:type="paragraph" w:styleId="Ttulo8">
    <w:name w:val="heading 8"/>
    <w:basedOn w:val="Normal"/>
    <w:next w:val="Normal"/>
    <w:link w:val="Ttulo8Car"/>
    <w:qFormat/>
    <w:rsid w:val="000954B0"/>
    <w:pPr>
      <w:numPr>
        <w:ilvl w:val="7"/>
        <w:numId w:val="2"/>
      </w:numPr>
      <w:ind w:left="720" w:hanging="720"/>
      <w:outlineLvl w:val="7"/>
    </w:pPr>
  </w:style>
  <w:style w:type="paragraph" w:styleId="Ttulo9">
    <w:name w:val="heading 9"/>
    <w:basedOn w:val="Normal"/>
    <w:next w:val="Normal"/>
    <w:link w:val="Ttulo9Car"/>
    <w:qFormat/>
    <w:rsid w:val="000954B0"/>
    <w:pPr>
      <w:numPr>
        <w:ilvl w:val="8"/>
        <w:numId w:val="2"/>
      </w:numPr>
      <w:ind w:left="720" w:hanging="720"/>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styleId="Refdenotaalpie">
    <w:name w:val="footnote reference"/>
    <w:basedOn w:val="Fuentedeprrafopredeter"/>
    <w:unhideWhenUsed/>
    <w:qFormat/>
    <w:rsid w:val="000954B0"/>
    <w:rPr>
      <w:sz w:val="24"/>
      <w:vertAlign w:val="superscript"/>
    </w:rPr>
  </w:style>
  <w:style w:type="character" w:styleId="Refdenotaalfinal">
    <w:name w:val="endnote reference"/>
    <w:rPr>
      <w:vertAlign w:val="superscript"/>
    </w:rPr>
  </w:style>
  <w:style w:type="paragraph" w:styleId="Piedepgina">
    <w:name w:val="footer"/>
    <w:basedOn w:val="Normal"/>
    <w:link w:val="PiedepginaCar"/>
    <w:qFormat/>
    <w:rsid w:val="000954B0"/>
  </w:style>
  <w:style w:type="paragraph" w:styleId="Encabezado">
    <w:name w:val="header"/>
    <w:basedOn w:val="Normal"/>
    <w:link w:val="EncabezadoCar"/>
    <w:qFormat/>
    <w:rsid w:val="000954B0"/>
  </w:style>
  <w:style w:type="paragraph" w:customStyle="1" w:styleId="LOGO">
    <w:name w:val="LOGO"/>
    <w:basedOn w:val="Normal"/>
    <w:rsid w:val="00740901"/>
    <w:pPr>
      <w:jc w:val="center"/>
    </w:pPr>
    <w:rPr>
      <w:rFonts w:ascii="Arial" w:hAnsi="Arial"/>
      <w:b/>
      <w:i/>
      <w:sz w:val="20"/>
    </w:rPr>
  </w:style>
  <w:style w:type="paragraph" w:styleId="Textonotapie">
    <w:name w:val="footnote text"/>
    <w:basedOn w:val="Normal"/>
    <w:link w:val="TextonotapieCar"/>
    <w:qFormat/>
    <w:rsid w:val="000954B0"/>
    <w:pPr>
      <w:keepLines/>
      <w:spacing w:after="60" w:line="240" w:lineRule="auto"/>
      <w:ind w:left="720" w:hanging="720"/>
    </w:pPr>
    <w:rPr>
      <w:sz w:val="16"/>
    </w:rPr>
  </w:style>
  <w:style w:type="character" w:customStyle="1" w:styleId="Ttulo1Car">
    <w:name w:val="Título 1 Car"/>
    <w:link w:val="Ttulo1"/>
    <w:rsid w:val="00941022"/>
    <w:rPr>
      <w:kern w:val="28"/>
      <w:sz w:val="22"/>
      <w:szCs w:val="22"/>
      <w:lang w:val="es-ES" w:eastAsia="es-ES" w:bidi="es-ES"/>
    </w:rPr>
  </w:style>
  <w:style w:type="character" w:customStyle="1" w:styleId="Ttulo2Car">
    <w:name w:val="Título 2 Car"/>
    <w:basedOn w:val="Fuentedeprrafopredeter"/>
    <w:link w:val="Ttulo2"/>
    <w:rsid w:val="00740901"/>
    <w:rPr>
      <w:sz w:val="22"/>
      <w:szCs w:val="22"/>
      <w:lang w:val="es-ES" w:eastAsia="es-ES" w:bidi="es-ES"/>
    </w:rPr>
  </w:style>
  <w:style w:type="character" w:customStyle="1" w:styleId="Ttulo3Car">
    <w:name w:val="Título 3 Car"/>
    <w:basedOn w:val="Fuentedeprrafopredeter"/>
    <w:link w:val="Ttulo3"/>
    <w:rsid w:val="00740901"/>
    <w:rPr>
      <w:sz w:val="22"/>
      <w:szCs w:val="22"/>
      <w:lang w:val="es-ES" w:eastAsia="es-ES" w:bidi="es-ES"/>
    </w:rPr>
  </w:style>
  <w:style w:type="character" w:customStyle="1" w:styleId="Ttulo4Car">
    <w:name w:val="Título 4 Car"/>
    <w:basedOn w:val="Fuentedeprrafopredeter"/>
    <w:link w:val="Ttulo4"/>
    <w:rsid w:val="00740901"/>
    <w:rPr>
      <w:sz w:val="22"/>
      <w:szCs w:val="22"/>
      <w:lang w:val="es-ES" w:eastAsia="es-ES" w:bidi="es-ES"/>
    </w:rPr>
  </w:style>
  <w:style w:type="character" w:customStyle="1" w:styleId="Ttulo5Car">
    <w:name w:val="Título 5 Car"/>
    <w:basedOn w:val="Fuentedeprrafopredeter"/>
    <w:link w:val="Ttulo5"/>
    <w:rsid w:val="00740901"/>
    <w:rPr>
      <w:sz w:val="22"/>
      <w:szCs w:val="22"/>
      <w:lang w:val="es-ES" w:eastAsia="es-ES" w:bidi="es-ES"/>
    </w:rPr>
  </w:style>
  <w:style w:type="character" w:customStyle="1" w:styleId="Ttulo6Car">
    <w:name w:val="Título 6 Car"/>
    <w:basedOn w:val="Fuentedeprrafopredeter"/>
    <w:link w:val="Ttulo6"/>
    <w:rsid w:val="00740901"/>
    <w:rPr>
      <w:sz w:val="22"/>
      <w:szCs w:val="22"/>
      <w:lang w:val="es-ES" w:eastAsia="es-ES" w:bidi="es-ES"/>
    </w:rPr>
  </w:style>
  <w:style w:type="character" w:customStyle="1" w:styleId="Ttulo7Car">
    <w:name w:val="Título 7 Car"/>
    <w:basedOn w:val="Fuentedeprrafopredeter"/>
    <w:link w:val="Ttulo7"/>
    <w:rsid w:val="00740901"/>
    <w:rPr>
      <w:sz w:val="22"/>
      <w:szCs w:val="22"/>
      <w:lang w:val="es-ES" w:eastAsia="es-ES" w:bidi="es-ES"/>
    </w:rPr>
  </w:style>
  <w:style w:type="character" w:customStyle="1" w:styleId="Ttulo8Car">
    <w:name w:val="Título 8 Car"/>
    <w:basedOn w:val="Fuentedeprrafopredeter"/>
    <w:link w:val="Ttulo8"/>
    <w:rsid w:val="00740901"/>
    <w:rPr>
      <w:sz w:val="22"/>
      <w:szCs w:val="22"/>
      <w:lang w:val="es-ES" w:eastAsia="es-ES" w:bidi="es-ES"/>
    </w:rPr>
  </w:style>
  <w:style w:type="character" w:customStyle="1" w:styleId="Ttulo9Car">
    <w:name w:val="Título 9 Car"/>
    <w:basedOn w:val="Fuentedeprrafopredeter"/>
    <w:link w:val="Ttulo9"/>
    <w:rsid w:val="00740901"/>
    <w:rPr>
      <w:sz w:val="22"/>
      <w:szCs w:val="22"/>
      <w:lang w:val="es-ES" w:eastAsia="es-ES" w:bidi="es-ES"/>
    </w:rPr>
  </w:style>
  <w:style w:type="character" w:customStyle="1" w:styleId="PiedepginaCar">
    <w:name w:val="Pie de página Car"/>
    <w:basedOn w:val="Fuentedeprrafopredeter"/>
    <w:link w:val="Piedepgina"/>
    <w:rsid w:val="00740901"/>
    <w:rPr>
      <w:sz w:val="22"/>
      <w:szCs w:val="22"/>
      <w:lang w:val="es-ES" w:eastAsia="es-ES" w:bidi="es-ES"/>
    </w:rPr>
  </w:style>
  <w:style w:type="character" w:customStyle="1" w:styleId="TextonotapieCar">
    <w:name w:val="Texto nota pie Car"/>
    <w:basedOn w:val="Fuentedeprrafopredeter"/>
    <w:link w:val="Textonotapie"/>
    <w:rsid w:val="00740901"/>
    <w:rPr>
      <w:sz w:val="16"/>
      <w:szCs w:val="22"/>
      <w:lang w:val="es-ES" w:eastAsia="es-ES" w:bidi="es-ES"/>
    </w:rPr>
  </w:style>
  <w:style w:type="character" w:customStyle="1" w:styleId="EncabezadoCar">
    <w:name w:val="Encabezado Car"/>
    <w:basedOn w:val="Fuentedeprrafopredeter"/>
    <w:link w:val="Encabezado"/>
    <w:rsid w:val="00740901"/>
    <w:rPr>
      <w:sz w:val="22"/>
      <w:szCs w:val="22"/>
      <w:lang w:val="es-ES" w:eastAsia="es-ES" w:bidi="es-ES"/>
    </w:rPr>
  </w:style>
  <w:style w:type="character" w:styleId="Hipervnculovisitado">
    <w:name w:val="FollowedHyperlink"/>
    <w:basedOn w:val="Fuentedeprrafopredeter"/>
    <w:uiPriority w:val="99"/>
    <w:rsid w:val="00740901"/>
    <w:rPr>
      <w:color w:val="800080"/>
      <w:u w:val="single"/>
    </w:rPr>
  </w:style>
  <w:style w:type="paragraph" w:styleId="Revisin">
    <w:name w:val="Revision"/>
    <w:hidden/>
    <w:uiPriority w:val="99"/>
    <w:semiHidden/>
    <w:rsid w:val="002C0373"/>
    <w:rPr>
      <w:kern w:val="1"/>
      <w:sz w:val="22"/>
    </w:rPr>
  </w:style>
  <w:style w:type="paragraph" w:styleId="Textonotaalfinal">
    <w:name w:val="endnote text"/>
    <w:basedOn w:val="Normal"/>
    <w:link w:val="TextonotaalfinalCar"/>
    <w:uiPriority w:val="99"/>
    <w:semiHidden/>
    <w:unhideWhenUsed/>
    <w:rsid w:val="00ED3BAD"/>
    <w:pPr>
      <w:spacing w:line="240" w:lineRule="auto"/>
    </w:pPr>
    <w:rPr>
      <w:sz w:val="20"/>
    </w:rPr>
  </w:style>
  <w:style w:type="character" w:customStyle="1" w:styleId="TextonotaalfinalCar">
    <w:name w:val="Texto nota al final Car"/>
    <w:basedOn w:val="Fuentedeprrafopredeter"/>
    <w:link w:val="Textonotaalfinal"/>
    <w:uiPriority w:val="99"/>
    <w:semiHidden/>
    <w:rsid w:val="00ED3BAD"/>
  </w:style>
  <w:style w:type="paragraph" w:customStyle="1" w:styleId="quotes">
    <w:name w:val="quotes"/>
    <w:basedOn w:val="Normal"/>
    <w:next w:val="Normal"/>
    <w:rsid w:val="000954B0"/>
    <w:pPr>
      <w:ind w:left="720"/>
    </w:pPr>
    <w:rPr>
      <w:i/>
    </w:rPr>
  </w:style>
  <w:style w:type="paragraph" w:styleId="Textodeglobo">
    <w:name w:val="Balloon Text"/>
    <w:basedOn w:val="Normal"/>
    <w:link w:val="TextodegloboCar"/>
    <w:semiHidden/>
    <w:unhideWhenUsed/>
    <w:rsid w:val="00B25AA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B25AA9"/>
    <w:rPr>
      <w:rFonts w:ascii="Tahoma" w:hAnsi="Tahoma" w:cs="Tahoma"/>
      <w:sz w:val="16"/>
      <w:szCs w:val="16"/>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247387">
      <w:bodyDiv w:val="1"/>
      <w:marLeft w:val="0"/>
      <w:marRight w:val="0"/>
      <w:marTop w:val="0"/>
      <w:marBottom w:val="0"/>
      <w:divBdr>
        <w:top w:val="none" w:sz="0" w:space="0" w:color="auto"/>
        <w:left w:val="none" w:sz="0" w:space="0" w:color="auto"/>
        <w:bottom w:val="none" w:sz="0" w:space="0" w:color="auto"/>
        <w:right w:val="none" w:sz="0" w:space="0" w:color="auto"/>
      </w:divBdr>
      <w:divsChild>
        <w:div w:id="989481103">
          <w:marLeft w:val="0"/>
          <w:marRight w:val="0"/>
          <w:marTop w:val="0"/>
          <w:marBottom w:val="0"/>
          <w:divBdr>
            <w:top w:val="none" w:sz="0" w:space="0" w:color="auto"/>
            <w:left w:val="none" w:sz="0" w:space="0" w:color="auto"/>
            <w:bottom w:val="none" w:sz="0" w:space="0" w:color="auto"/>
            <w:right w:val="none" w:sz="0" w:space="0" w:color="auto"/>
          </w:divBdr>
          <w:divsChild>
            <w:div w:id="140733092">
              <w:marLeft w:val="0"/>
              <w:marRight w:val="0"/>
              <w:marTop w:val="0"/>
              <w:marBottom w:val="0"/>
              <w:divBdr>
                <w:top w:val="none" w:sz="0" w:space="0" w:color="auto"/>
                <w:left w:val="none" w:sz="0" w:space="0" w:color="auto"/>
                <w:bottom w:val="none" w:sz="0" w:space="0" w:color="auto"/>
                <w:right w:val="none" w:sz="0" w:space="0" w:color="auto"/>
              </w:divBdr>
              <w:divsChild>
                <w:div w:id="426924328">
                  <w:marLeft w:val="0"/>
                  <w:marRight w:val="0"/>
                  <w:marTop w:val="0"/>
                  <w:marBottom w:val="0"/>
                  <w:divBdr>
                    <w:top w:val="none" w:sz="0" w:space="0" w:color="auto"/>
                    <w:left w:val="none" w:sz="0" w:space="0" w:color="auto"/>
                    <w:bottom w:val="none" w:sz="0" w:space="0" w:color="auto"/>
                    <w:right w:val="none" w:sz="0" w:space="0" w:color="auto"/>
                  </w:divBdr>
                  <w:divsChild>
                    <w:div w:id="644894476">
                      <w:marLeft w:val="1"/>
                      <w:marRight w:val="1"/>
                      <w:marTop w:val="0"/>
                      <w:marBottom w:val="0"/>
                      <w:divBdr>
                        <w:top w:val="none" w:sz="0" w:space="0" w:color="auto"/>
                        <w:left w:val="none" w:sz="0" w:space="0" w:color="auto"/>
                        <w:bottom w:val="none" w:sz="0" w:space="0" w:color="auto"/>
                        <w:right w:val="none" w:sz="0" w:space="0" w:color="auto"/>
                      </w:divBdr>
                      <w:divsChild>
                        <w:div w:id="651250010">
                          <w:marLeft w:val="0"/>
                          <w:marRight w:val="0"/>
                          <w:marTop w:val="0"/>
                          <w:marBottom w:val="0"/>
                          <w:divBdr>
                            <w:top w:val="none" w:sz="0" w:space="0" w:color="auto"/>
                            <w:left w:val="none" w:sz="0" w:space="0" w:color="auto"/>
                            <w:bottom w:val="none" w:sz="0" w:space="0" w:color="auto"/>
                            <w:right w:val="none" w:sz="0" w:space="0" w:color="auto"/>
                          </w:divBdr>
                          <w:divsChild>
                            <w:div w:id="1772317287">
                              <w:marLeft w:val="0"/>
                              <w:marRight w:val="0"/>
                              <w:marTop w:val="0"/>
                              <w:marBottom w:val="360"/>
                              <w:divBdr>
                                <w:top w:val="none" w:sz="0" w:space="0" w:color="auto"/>
                                <w:left w:val="none" w:sz="0" w:space="0" w:color="auto"/>
                                <w:bottom w:val="none" w:sz="0" w:space="0" w:color="auto"/>
                                <w:right w:val="none" w:sz="0" w:space="0" w:color="auto"/>
                              </w:divBdr>
                              <w:divsChild>
                                <w:div w:id="1349874172">
                                  <w:marLeft w:val="0"/>
                                  <w:marRight w:val="0"/>
                                  <w:marTop w:val="0"/>
                                  <w:marBottom w:val="0"/>
                                  <w:divBdr>
                                    <w:top w:val="none" w:sz="0" w:space="0" w:color="auto"/>
                                    <w:left w:val="none" w:sz="0" w:space="0" w:color="auto"/>
                                    <w:bottom w:val="none" w:sz="0" w:space="0" w:color="auto"/>
                                    <w:right w:val="none" w:sz="0" w:space="0" w:color="auto"/>
                                  </w:divBdr>
                                  <w:divsChild>
                                    <w:div w:id="549266793">
                                      <w:marLeft w:val="0"/>
                                      <w:marRight w:val="0"/>
                                      <w:marTop w:val="0"/>
                                      <w:marBottom w:val="0"/>
                                      <w:divBdr>
                                        <w:top w:val="none" w:sz="0" w:space="0" w:color="auto"/>
                                        <w:left w:val="single" w:sz="48" w:space="15" w:color="003399"/>
                                        <w:bottom w:val="none" w:sz="0" w:space="0" w:color="auto"/>
                                        <w:right w:val="none" w:sz="0" w:space="0" w:color="auto"/>
                                      </w:divBdr>
                                      <w:divsChild>
                                        <w:div w:id="664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cor.europa.eu/"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or.europa.eu/" TargetMode="External"/><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S/TXT/?uri=uriserv:OJ.C_.2013.017.01.0051.01.SPA" TargetMode="External"/><Relationship Id="rId2" Type="http://schemas.openxmlformats.org/officeDocument/2006/relationships/hyperlink" Target="http://eur-lex.europa.eu/legal-content/ES/TXT/?uri=uriserv:OJ.C_.2013.017.01.0018.01.SPA" TargetMode="External"/><Relationship Id="rId1" Type="http://schemas.openxmlformats.org/officeDocument/2006/relationships/hyperlink" Target="http://eur-lex.europa.eu/legal-content/ES/TXT/?uri=uriserv:OJ.C_.2012.225.01.0174.01.SPA" TargetMode="External"/><Relationship Id="rId4" Type="http://schemas.openxmlformats.org/officeDocument/2006/relationships/hyperlink" Target="http://eur-lex.europa.eu/legal-content/ES/TXT/?uri=uriserv:OJ.C_.2013.356.01.0080.01.SP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ed70e30-93ef-45b4-8939-ee55f442fbe8">32DPXCYX3S74-6-7036</_dlc_DocId>
    <_dlc_DocIdUrl xmlns="bed70e30-93ef-45b4-8939-ee55f442fbe8">
      <Url>http://dm/CoR/2015/_layouts/DocIdRedir.aspx?ID=32DPXCYX3S74-6-7036</Url>
      <Description>32DPXCYX3S74-6-7036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bed70e30-93ef-45b4-8939-ee55f442fbe8"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bed70e30-93ef-45b4-8939-ee55f442fbe8">2016-02-19T12:00:00+00:00</ProductionDate>
    <FicheYear xmlns="bed70e30-93ef-45b4-8939-ee55f442fbe8">2016</FicheYear>
    <DocumentNumber xmlns="8c407f96-be00-4ee3-b5fd-2feed324ca09">2799</DocumentNumber>
    <DocumentVersion xmlns="bed70e30-93ef-45b4-8939-ee55f442fbe8">0</DocumentVersion>
    <DossierNumber xmlns="bed70e30-93ef-45b4-8939-ee55f442fbe8">4</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bed70e30-93ef-45b4-8939-ee55f442fbe8">
      <Value>92</Value>
      <Value>35</Value>
      <Value>34</Value>
      <Value>33</Value>
      <Value>32</Value>
      <Value>31</Value>
      <Value>30</Value>
      <Value>29</Value>
      <Value>63</Value>
      <Value>27</Value>
      <Value>26</Value>
      <Value>25</Value>
      <Value>24</Value>
      <Value>23</Value>
      <Value>22</Value>
      <Value>21</Value>
      <Value>20</Value>
      <Value>19</Value>
      <Value>18</Value>
      <Value>17</Value>
      <Value>16</Value>
      <Value>15</Value>
      <Value>10</Value>
      <Value>7</Value>
      <Value>5</Value>
      <Value>4</Value>
      <Value>50</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MeetingDate xmlns="bed70e30-93ef-45b4-8939-ee55f442fbe8" xsi:nil="true"/>
    <Rapporteur xmlns="bed70e30-93ef-45b4-8939-ee55f442fbe8">LÄNTS</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bed70e30-93ef-45b4-8939-ee55f442fbe8">1899</FicheNumber>
    <DocumentYear xmlns="bed70e30-93ef-45b4-8939-ee55f442fbe8">2015</DocumentYear>
    <DocumentPart xmlns="bed70e30-93ef-45b4-8939-ee55f442fbe8">0</DocumentPart>
    <AdoptionDate xmlns="bed70e30-93ef-45b4-8939-ee55f442fbe8">2016-02-10T12:00:00+00:00</AdoptionDate>
    <RequestingService xmlns="bed70e30-93ef-45b4-8939-ee55f442fbe8">Commission NAT</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MeetingNumber xmlns="8c407f96-be00-4ee3-b5fd-2feed324ca09"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NAT-VI</TermName>
          <TermId xmlns="http://schemas.microsoft.com/office/infopath/2007/PartnerControls">e54bcc5f-9c36-435f-9089-634f42a88ebb</TermId>
        </TermInfo>
      </Terms>
    </DossierName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82199D79B1BCA046A558C2F6632AFF1C" ma:contentTypeVersion="7" ma:contentTypeDescription="Defines the documents for Document Manager V2" ma:contentTypeScope="" ma:versionID="562c909e4bbf5e6b7013371766146387">
  <xsd:schema xmlns:xsd="http://www.w3.org/2001/XMLSchema" xmlns:xs="http://www.w3.org/2001/XMLSchema" xmlns:p="http://schemas.microsoft.com/office/2006/metadata/properties" xmlns:ns2="bed70e30-93ef-45b4-8939-ee55f442fbe8" xmlns:ns3="http://schemas.microsoft.com/sharepoint/v3/fields" xmlns:ns4="8c407f96-be00-4ee3-b5fd-2feed324ca09" targetNamespace="http://schemas.microsoft.com/office/2006/metadata/properties" ma:root="true" ma:fieldsID="4e69ee6391ce2e7ed4e3a7867eedcd33" ns2:_="" ns3:_="" ns4:_="">
    <xsd:import namespace="bed70e30-93ef-45b4-8939-ee55f442fbe8"/>
    <xsd:import namespace="http://schemas.microsoft.com/sharepoint/v3/fields"/>
    <xsd:import namespace="8c407f96-be00-4ee3-b5fd-2feed324ca0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70e30-93ef-45b4-8939-ee55f442fb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6d94abe9-dbc9-423a-838f-6dc472c12929}" ma:internalName="TaxCatchAll" ma:showField="CatchAllData"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6d94abe9-dbc9-423a-838f-6dc472c12929}" ma:internalName="TaxCatchAllLabel" ma:readOnly="true" ma:showField="CatchAllDataLabel"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407f96-be00-4ee3-b5fd-2feed324ca09"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2D54E-32F7-4B3C-BF50-AF0F110DB188}">
  <ds:schemaRefs>
    <ds:schemaRef ds:uri="http://schemas.microsoft.com/office/2006/metadata/properties"/>
    <ds:schemaRef ds:uri="http://schemas.microsoft.com/office/infopath/2007/PartnerControls"/>
    <ds:schemaRef ds:uri="bed70e30-93ef-45b4-8939-ee55f442fbe8"/>
    <ds:schemaRef ds:uri="http://schemas.microsoft.com/sharepoint/v3/fields"/>
    <ds:schemaRef ds:uri="8c407f96-be00-4ee3-b5fd-2feed324ca09"/>
  </ds:schemaRefs>
</ds:datastoreItem>
</file>

<file path=customXml/itemProps2.xml><?xml version="1.0" encoding="utf-8"?>
<ds:datastoreItem xmlns:ds="http://schemas.openxmlformats.org/officeDocument/2006/customXml" ds:itemID="{777A30D1-3F68-49FE-BEBF-BF05B32804B9}">
  <ds:schemaRefs>
    <ds:schemaRef ds:uri="http://schemas.microsoft.com/sharepoint/events"/>
  </ds:schemaRefs>
</ds:datastoreItem>
</file>

<file path=customXml/itemProps3.xml><?xml version="1.0" encoding="utf-8"?>
<ds:datastoreItem xmlns:ds="http://schemas.openxmlformats.org/officeDocument/2006/customXml" ds:itemID="{8188436A-DC53-451D-853D-4365A90CFD0E}">
  <ds:schemaRefs>
    <ds:schemaRef ds:uri="http://schemas.microsoft.com/sharepoint/v3/contenttype/forms"/>
  </ds:schemaRefs>
</ds:datastoreItem>
</file>

<file path=customXml/itemProps4.xml><?xml version="1.0" encoding="utf-8"?>
<ds:datastoreItem xmlns:ds="http://schemas.openxmlformats.org/officeDocument/2006/customXml" ds:itemID="{9F2E6AAD-B1EC-44DD-A3FA-B64FC0767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70e30-93ef-45b4-8939-ee55f442fbe8"/>
    <ds:schemaRef ds:uri="http://schemas.microsoft.com/sharepoint/v3/fields"/>
    <ds:schemaRef ds:uri="8c407f96-be00-4ee3-b5fd-2feed324c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71ACF6-0D94-4A8A-BA6E-5BDD7C181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1</TotalTime>
  <Pages>3</Pages>
  <Words>3926</Words>
  <Characters>21599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Innovation and modernisation of the rural economy</vt:lpstr>
    </vt:vector>
  </TitlesOfParts>
  <Company>CESE-CdR</Company>
  <LinksUpToDate>false</LinksUpToDate>
  <CharactersWithSpaces>25475</CharactersWithSpaces>
  <SharedDoc>false</SharedDoc>
  <HLinks>
    <vt:vector size="30" baseType="variant">
      <vt:variant>
        <vt:i4>3014714</vt:i4>
      </vt:variant>
      <vt:variant>
        <vt:i4>3</vt:i4>
      </vt:variant>
      <vt:variant>
        <vt:i4>0</vt:i4>
      </vt:variant>
      <vt:variant>
        <vt:i4>5</vt:i4>
      </vt:variant>
      <vt:variant>
        <vt:lpwstr>http://toad.cor.europa.eu/CORHelp.aspx</vt:lpwstr>
      </vt:variant>
      <vt:variant>
        <vt:lpwstr/>
      </vt:variant>
      <vt:variant>
        <vt:i4>1048588</vt:i4>
      </vt:variant>
      <vt:variant>
        <vt:i4>0</vt:i4>
      </vt:variant>
      <vt:variant>
        <vt:i4>0</vt:i4>
      </vt:variant>
      <vt:variant>
        <vt:i4>5</vt:i4>
      </vt:variant>
      <vt:variant>
        <vt:lpwstr>http://cor.europa.eu/members</vt:lpwstr>
      </vt:variant>
      <vt:variant>
        <vt:lpwstr/>
      </vt:variant>
      <vt:variant>
        <vt:i4>6619206</vt:i4>
      </vt:variant>
      <vt:variant>
        <vt:i4>3</vt:i4>
      </vt:variant>
      <vt:variant>
        <vt:i4>0</vt:i4>
      </vt:variant>
      <vt:variant>
        <vt:i4>5</vt:i4>
      </vt:variant>
      <vt:variant>
        <vt:lpwstr>http://eur-lex.europa.eu/legal-content/EN/TXT/?uri=uriserv:OJ.C_.2012.225.01.0174.01.ENG</vt:lpwstr>
      </vt:variant>
      <vt:variant>
        <vt:lpwstr/>
      </vt:variant>
      <vt:variant>
        <vt:i4>7536748</vt:i4>
      </vt:variant>
      <vt:variant>
        <vt:i4>0</vt:i4>
      </vt:variant>
      <vt:variant>
        <vt:i4>0</vt:i4>
      </vt:variant>
      <vt:variant>
        <vt:i4>5</vt:i4>
      </vt:variant>
      <vt:variant>
        <vt:lpwstr>http://eur-lex.europa.eu/legal-content/EN/TXT/?qid=1440157594122&amp;uri=CELEX:52009AR0139</vt:lpwstr>
      </vt:variant>
      <vt:variant>
        <vt:lpwstr/>
      </vt:variant>
      <vt:variant>
        <vt:i4>393231</vt:i4>
      </vt:variant>
      <vt:variant>
        <vt:i4>0</vt:i4>
      </vt:variant>
      <vt:variant>
        <vt:i4>0</vt:i4>
      </vt:variant>
      <vt:variant>
        <vt:i4>5</vt:i4>
      </vt:variant>
      <vt:variant>
        <vt:lpwstr>http://www.cor.europa.eu/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Innovación y modernización de la economía rural</dc:title>
  <dc:subject>Dictamen Comité</dc:subject>
  <dc:creator>User6</dc:creator>
  <cp:keywords>COR-2015-02799-00-00-AC-TRA-ES</cp:keywords>
  <dc:description>Ponente: LÄNTS_x000d_
Lengua original: EN_x000d_
Fecha del documento: 19/02/2016_x000d_
Fecha de la reunión: _x000d_
Documentos externos: -_x000d_
Funcionario responsable: Moraut  Hélène, teléfono: + 2 282 2161_x000d_
_x000d_
Resumen:</dc:description>
  <cp:lastModifiedBy>User6</cp:lastModifiedBy>
  <cp:revision>2</cp:revision>
  <cp:lastPrinted>2015-11-24T14:29:00Z</cp:lastPrinted>
  <dcterms:created xsi:type="dcterms:W3CDTF">2016-02-23T09:51:00Z</dcterms:created>
  <dcterms:modified xsi:type="dcterms:W3CDTF">2016-02-23T09:51:00Z</dcterms:modified>
  <cp:category>NAT-VI/004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CESE-CdR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Event date">
    <vt:lpwstr/>
  </property>
  <property fmtid="{D5CDD505-2E9C-101B-9397-08002B2CF9AE}" pid="10" name="Year">
    <vt:lpwstr/>
  </property>
  <property fmtid="{D5CDD505-2E9C-101B-9397-08002B2CF9AE}" pid="11" name="Domain New">
    <vt:lpwstr>IT tools related documents</vt:lpwstr>
  </property>
  <property fmtid="{D5CDD505-2E9C-101B-9397-08002B2CF9AE}" pid="12" name="Subdomain New">
    <vt:lpwstr>Ariane</vt:lpwstr>
  </property>
  <property fmtid="{D5CDD505-2E9C-101B-9397-08002B2CF9AE}" pid="13" name="Pref_formatted">
    <vt:bool>true</vt:bool>
  </property>
  <property fmtid="{D5CDD505-2E9C-101B-9397-08002B2CF9AE}" pid="14" name="Pref_Date">
    <vt:lpwstr>16/02/2016, 16/02/2016, 30/11/2015, 30/11/2015, 30/11/2015, 28/10/2015, 28/10/2015, 27/08/2015, 27/08/2015, 27/08/2015, 25/08/2015, 25/08/2015, 25/08/2015, 24/08/2015, 24/08/2015, 24/08/2015, 29/05/2015, 29/05/2015, 29/05/2015, 29/05/2015</vt:lpwstr>
  </property>
  <property fmtid="{D5CDD505-2E9C-101B-9397-08002B2CF9AE}" pid="15" name="Pref_Time">
    <vt:lpwstr>14:47:34, 14:27:48, 12:21:21, 12/01/48, 11:33:52, 11:02:11, 10:44:25, 12:44:57, 12:33:11, 12:20:22, 14:09:02, 13:54:22, 11:23:17, 16:00:58, 14:49:11, 11:58:52, 11:30:37, 10:48:35, 10:04:39, 09:55:24</vt:lpwstr>
  </property>
  <property fmtid="{D5CDD505-2E9C-101B-9397-08002B2CF9AE}" pid="16" name="Pref_User">
    <vt:lpwstr>vvos, ymur, enied, amett, ymur, mkop, tvoc, amett, enied, nmcg, amett, enied, ssex, amett, enied, ssex, jhvi, mkop, nmcg, nmcg</vt:lpwstr>
  </property>
  <property fmtid="{D5CDD505-2E9C-101B-9397-08002B2CF9AE}" pid="17" name="Pref_FileName">
    <vt:lpwstr>COR-2015-02799-00-00-AC-TRA-EN-CRR.docx, COR-2015-02799-00-00-AC-CRR-EN.docx, COR-2015-02799-00-00-PAC-ORIfinal.docx, COR-2015-02799-00-00-PAC-TRA-EN-CRR.docx, COR-2015-02799-00-00-PAC-CRR-EN.docx, COR-2015-02799-00-01-PA-ORI.docx, COR-2015-02799-00-01-PA</vt:lpwstr>
  </property>
  <property fmtid="{D5CDD505-2E9C-101B-9397-08002B2CF9AE}" pid="18" name="StyleCheckSum">
    <vt:lpwstr>55325_C22091_P251_L64</vt:lpwstr>
  </property>
  <property fmtid="{D5CDD505-2E9C-101B-9397-08002B2CF9AE}" pid="19" name="ContentTypeId">
    <vt:lpwstr>0x010100EA97B91038054C99906057A708A1480A0082199D79B1BCA046A558C2F6632AFF1C</vt:lpwstr>
  </property>
  <property fmtid="{D5CDD505-2E9C-101B-9397-08002B2CF9AE}" pid="20" name="_dlc_DocIdItemGuid">
    <vt:lpwstr>10ce063d-03b6-4d73-b50f-eb1b54e934a6</vt:lpwstr>
  </property>
  <property fmtid="{D5CDD505-2E9C-101B-9397-08002B2CF9AE}" pid="21" name="MeetingNumber">
    <vt:i4>6</vt:i4>
  </property>
  <property fmtid="{D5CDD505-2E9C-101B-9397-08002B2CF9AE}" pid="22" name="DocumentType_0">
    <vt:lpwstr>AC|a4cc1d15-fb08-4679-ad46-e4e0cba5fe92</vt:lpwstr>
  </property>
  <property fmtid="{D5CDD505-2E9C-101B-9397-08002B2CF9AE}" pid="23" name="AvailableTranslations">
    <vt:lpwstr>34;#LT|a7ff5ce7-6123-4f68-865a-a57c31810414;#4;#DE|f6b31e5a-26fa-4935-b661-318e46daf27e;#21;#SL|98a412ae-eb01-49e9-ae3d-585a81724cfc;#33;#MT|7df99101-6854-4a26-b53a-b88c0da02c26;#35;#HU|6b229040-c589-4408-b4c1-4285663d20a8;#10;#EN|f2175f21-25d7-44a3-96da-</vt:lpwstr>
  </property>
  <property fmtid="{D5CDD505-2E9C-101B-9397-08002B2CF9AE}" pid="24" name="DossierName_0">
    <vt:lpwstr>NAT-VI|e54bcc5f-9c36-435f-9089-634f42a88ebb</vt:lpwstr>
  </property>
  <property fmtid="{D5CDD505-2E9C-101B-9397-08002B2CF9AE}" pid="25" name="DocumentSource_0">
    <vt:lpwstr>CoR|cb2d75ef-4a7d-4393-b797-49ed6298a5ea</vt:lpwstr>
  </property>
  <property fmtid="{D5CDD505-2E9C-101B-9397-08002B2CF9AE}" pid="26" name="FicheYear">
    <vt:i4>2016</vt:i4>
  </property>
  <property fmtid="{D5CDD505-2E9C-101B-9397-08002B2CF9AE}" pid="27" name="DocumentNumber">
    <vt:i4>2799</vt:i4>
  </property>
  <property fmtid="{D5CDD505-2E9C-101B-9397-08002B2CF9AE}" pid="28" name="DocumentVersion">
    <vt:i4>0</vt:i4>
  </property>
  <property fmtid="{D5CDD505-2E9C-101B-9397-08002B2CF9AE}" pid="29" name="DossierNumber">
    <vt:i4>4</vt:i4>
  </property>
  <property fmtid="{D5CDD505-2E9C-101B-9397-08002B2CF9AE}" pid="30" name="DocumentStatus">
    <vt:lpwstr>2;#TRA|150d2a88-1431-44e6-a8ca-0bb753ab8672</vt:lpwstr>
  </property>
  <property fmtid="{D5CDD505-2E9C-101B-9397-08002B2CF9AE}" pid="31" name="DossierName">
    <vt:lpwstr>50;#NAT-VI|e54bcc5f-9c36-435f-9089-634f42a88ebb</vt:lpwstr>
  </property>
  <property fmtid="{D5CDD505-2E9C-101B-9397-08002B2CF9AE}" pid="32" name="RequestingService">
    <vt:lpwstr>Commission NAT</vt:lpwstr>
  </property>
  <property fmtid="{D5CDD505-2E9C-101B-9397-08002B2CF9AE}" pid="33" name="Confidentiality">
    <vt:lpwstr>5;#Unrestricted|826e22d7-d029-4ec0-a450-0c28ff673572</vt:lpwstr>
  </property>
  <property fmtid="{D5CDD505-2E9C-101B-9397-08002B2CF9AE}" pid="34" name="Confidentiality_0">
    <vt:lpwstr>Unrestricted|826e22d7-d029-4ec0-a450-0c28ff673572</vt:lpwstr>
  </property>
  <property fmtid="{D5CDD505-2E9C-101B-9397-08002B2CF9AE}" pid="35" name="MeetingName_0">
    <vt:lpwstr/>
  </property>
  <property fmtid="{D5CDD505-2E9C-101B-9397-08002B2CF9AE}" pid="36" name="OriginalLanguage">
    <vt:lpwstr>10;#EN|f2175f21-25d7-44a3-96da-d6a61b075e1b</vt:lpwstr>
  </property>
  <property fmtid="{D5CDD505-2E9C-101B-9397-08002B2CF9AE}" pid="37" name="MeetingName">
    <vt:lpwstr/>
  </property>
  <property fmtid="{D5CDD505-2E9C-101B-9397-08002B2CF9AE}" pid="38" name="DocumentStatus_0">
    <vt:lpwstr>TRA|150d2a88-1431-44e6-a8ca-0bb753ab8672</vt:lpwstr>
  </property>
  <property fmtid="{D5CDD505-2E9C-101B-9397-08002B2CF9AE}" pid="39" name="OriginalLanguage_0">
    <vt:lpwstr>EN|f2175f21-25d7-44a3-96da-d6a61b075e1b</vt:lpwstr>
  </property>
  <property fmtid="{D5CDD505-2E9C-101B-9397-08002B2CF9AE}" pid="40" name="TaxCatchAll">
    <vt:lpwstr>92;#AC|a4cc1d15-fb08-4679-ad46-e4e0cba5fe92;#35;#HU|6b229040-c589-4408-b4c1-4285663d20a8;#34;#LT|a7ff5ce7-6123-4f68-865a-a57c31810414;#33;#MT|7df99101-6854-4a26-b53a-b88c0da02c26;#32;#LV|46f7e311-5d9f-4663-b433-18aeccb7ace7;#31;#HR|2f555653-ed1a-4fe6-8362</vt:lpwstr>
  </property>
  <property fmtid="{D5CDD505-2E9C-101B-9397-08002B2CF9AE}" pid="41" name="AvailableTranslations_0">
    <vt:lpwstr>LT|a7ff5ce7-6123-4f68-865a-a57c31810414;DE|f6b31e5a-26fa-4935-b661-318e46daf27e;MT|7df99101-6854-4a26-b53a-b88c0da02c26;HU|6b229040-c589-4408-b4c1-4285663d20a8;EN|f2175f21-25d7-44a3-96da-d6a61b075e1b;LV|46f7e311-5d9f-4663-b433-18aeccb7ace7;FR|d2afafd3-4c8</vt:lpwstr>
  </property>
  <property fmtid="{D5CDD505-2E9C-101B-9397-08002B2CF9AE}" pid="42" name="VersionStatus">
    <vt:lpwstr>63;#Final|ea5e6674-7b27-4bac-b091-73adbb394efe</vt:lpwstr>
  </property>
  <property fmtid="{D5CDD505-2E9C-101B-9397-08002B2CF9AE}" pid="43" name="Rapporteur">
    <vt:lpwstr>LÄNTS</vt:lpwstr>
  </property>
  <property fmtid="{D5CDD505-2E9C-101B-9397-08002B2CF9AE}" pid="44" name="VersionStatus_0">
    <vt:lpwstr>Final|ea5e6674-7b27-4bac-b091-73adbb394efe</vt:lpwstr>
  </property>
  <property fmtid="{D5CDD505-2E9C-101B-9397-08002B2CF9AE}" pid="45" name="FicheNumber">
    <vt:i4>1899</vt:i4>
  </property>
  <property fmtid="{D5CDD505-2E9C-101B-9397-08002B2CF9AE}" pid="46" name="DocumentYear">
    <vt:i4>2015</vt:i4>
  </property>
  <property fmtid="{D5CDD505-2E9C-101B-9397-08002B2CF9AE}" pid="47" name="DocumentType">
    <vt:lpwstr>92;#AC|a4cc1d15-fb08-4679-ad46-e4e0cba5fe92</vt:lpwstr>
  </property>
  <property fmtid="{D5CDD505-2E9C-101B-9397-08002B2CF9AE}" pid="48" name="DocumentSource">
    <vt:lpwstr>1;#CoR|cb2d75ef-4a7d-4393-b797-49ed6298a5ea</vt:lpwstr>
  </property>
  <property fmtid="{D5CDD505-2E9C-101B-9397-08002B2CF9AE}" pid="49" name="DocumentPart">
    <vt:i4>0</vt:i4>
  </property>
  <property fmtid="{D5CDD505-2E9C-101B-9397-08002B2CF9AE}" pid="50" name="DocumentLanguage">
    <vt:lpwstr>20;#ES|e7a6b05b-ae16-40c8-add9-68b64b03aeba</vt:lpwstr>
  </property>
  <property fmtid="{D5CDD505-2E9C-101B-9397-08002B2CF9AE}" pid="51" name="DocumentLanguage_0">
    <vt:lpwstr>EN|f2175f21-25d7-44a3-96da-d6a61b075e1b</vt:lpwstr>
  </property>
  <property fmtid="{D5CDD505-2E9C-101B-9397-08002B2CF9AE}" pid="52" name="AdoptionDate">
    <vt:filetime>2016-02-10T12:00:00Z</vt:filetime>
  </property>
</Properties>
</file>